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Specification Document</w:t>
      </w:r>
    </w:p>
    <w:p/>
    <w:p>
      <w:r>
        <w:rPr>
          <w:b/>
        </w:rPr>
        <w:t xml:space="preserve">PROJECT: </w:t>
      </w:r>
      <w:r>
        <w:t>MVP 2 Farming Engagement Hub</w:t>
      </w:r>
    </w:p>
    <w:p>
      <w:r>
        <w:rPr>
          <w:b/>
        </w:rPr>
        <w:t xml:space="preserve">EPIC: </w:t>
      </w:r>
      <w:r>
        <w:t>Farmer Segmentation</w:t>
      </w:r>
    </w:p>
    <w:p>
      <w:r>
        <w:rPr>
          <w:b/>
        </w:rPr>
        <w:t xml:space="preserve">Functionality: </w:t>
      </w:r>
      <w:r>
        <w:t>Farmer Irregularities KPI — Processing and Registration</w:t>
      </w:r>
    </w:p>
    <w:p>
      <w:r>
        <w:rPr>
          <w:b/>
        </w:rPr>
        <w:t xml:space="preserve">User Story ID: </w:t>
      </w:r>
      <w:r>
        <w:t>PA-SEG-003</w:t>
      </w:r>
    </w:p>
    <w:p>
      <w:r>
        <w:rPr>
          <w:b/>
        </w:rPr>
        <w:t xml:space="preserve">Functional Specification For: </w:t>
      </w:r>
      <w:r>
        <w:t>(X) Web Application    ( ) Mobile Application</w:t>
      </w:r>
    </w:p>
    <w:p>
      <w:r>
        <w:rPr>
          <w:b/>
        </w:rPr>
        <w:t xml:space="preserve">Portal: </w:t>
      </w:r>
      <w:r>
        <w:t>Back Office PA (Web)</w:t>
      </w:r>
    </w:p>
    <w:p>
      <w:r>
        <w:rPr>
          <w:b/>
        </w:rPr>
        <w:t xml:space="preserve">Prototype: </w:t>
      </w:r>
      <w:r>
        <w:t>BAT - Agri 360 — Figma (segmentation flows)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Revision History</w:t>
      </w:r>
    </w:p>
    <w:p>
      <w:pPr>
        <w:pStyle w:val="ListNumber"/>
      </w:pPr>
      <w:r>
        <w:t>2. Sign-off</w:t>
      </w:r>
    </w:p>
    <w:p>
      <w:pPr>
        <w:pStyle w:val="ListNumber"/>
      </w:pPr>
      <w:r>
        <w:t>3. Process Specification</w:t>
      </w:r>
    </w:p>
    <w:p>
      <w:pPr>
        <w:pStyle w:val="ListNumber"/>
      </w:pPr>
      <w:r>
        <w:t>4. User Interface &amp; User Experience</w:t>
      </w:r>
    </w:p>
    <w:p>
      <w:pPr>
        <w:pStyle w:val="ListNumber"/>
      </w:pPr>
      <w:r>
        <w:t>5. Policy &amp; Regulatory Requirements</w:t>
      </w:r>
    </w:p>
    <w:p>
      <w:pPr>
        <w:pStyle w:val="ListNumber"/>
      </w:pPr>
      <w:r>
        <w:t>6. Technical Requirements</w:t>
      </w:r>
    </w:p>
    <w:p>
      <w:pPr>
        <w:pStyle w:val="ListNumber"/>
      </w:pPr>
      <w:r>
        <w:t>7. Positive &amp; Negative Testing</w:t>
      </w:r>
    </w:p>
    <w:p>
      <w:r>
        <w:br w:type="page"/>
      </w:r>
    </w:p>
    <w:p>
      <w:pPr>
        <w:pStyle w:val="Heading1"/>
      </w:pPr>
      <w: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340"/>
          </w:tcPr>
          <w:p>
            <w:r>
              <w:t>26/05/2026</w:t>
            </w:r>
          </w:p>
        </w:tc>
        <w:tc>
          <w:tcPr>
            <w:tcW w:type="dxa" w:w="2340"/>
          </w:tcPr>
          <w:p>
            <w:r>
              <w:t>Matheus Kist</w:t>
            </w:r>
          </w:p>
        </w:tc>
        <w:tc>
          <w:tcPr>
            <w:tcW w:type="dxa" w:w="2340"/>
          </w:tcPr>
          <w:p>
            <w:r>
              <w:t>Initial document draft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</w:tbl>
    <w:p/>
    <w:p>
      <w:pPr>
        <w:pStyle w:val="Heading1"/>
      </w:pPr>
      <w:r>
        <w:t>2. Sign-off</w:t>
      </w:r>
    </w:p>
    <w:p>
      <w:r>
        <w:rPr>
          <w:b w:val="0"/>
        </w:rPr>
        <w:t>All screens described in this document are operated by the Backoffice PA User within the Back Office PA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1"/>
      </w:pPr>
      <w:r>
        <w:t>3. Process Specification</w:t>
      </w:r>
    </w:p>
    <w:p>
      <w:pPr>
        <w:pStyle w:val="ListBullet"/>
      </w:pPr>
      <w:r>
        <w:t>What? Record ESG/compliance irregularity events per farmer, crop season, and culture type.</w:t>
      </w:r>
    </w:p>
    <w:p>
      <w:pPr>
        <w:pStyle w:val="ListBullet"/>
      </w:pPr>
      <w:r>
        <w:t>Who? Backoffice PA User.</w:t>
      </w:r>
    </w:p>
    <w:p>
      <w:pPr>
        <w:pStyle w:val="ListBullet"/>
      </w:pPr>
      <w:r>
        <w:t>When? When irregularities are known and before ESG scoring simulations.</w:t>
      </w:r>
    </w:p>
    <w:p>
      <w:pPr>
        <w:pStyle w:val="ListBullet"/>
      </w:pPr>
      <w:r>
        <w:t>Where? KPI Data — ESG Irregularities screen (Web); user story name: Farmer Irregularities KPI.</w:t>
      </w:r>
    </w:p>
    <w:p>
      <w:pPr>
        <w:pStyle w:val="ListBullet"/>
      </w:pPr>
      <w:r>
        <w:t>Why? Irregularities are multi-valued and separate from contract KPI percentages.</w:t>
      </w:r>
    </w:p>
    <w:p>
      <w:pPr>
        <w:pStyle w:val="ListBullet"/>
      </w:pPr>
      <w:r>
        <w:t>How? Grid, manual maintenance, import (Phase 1); Agri360-fed data (Phase 2).</w:t>
      </w:r>
    </w:p>
    <w:p>
      <w:pPr>
        <w:pStyle w:val="Heading2"/>
      </w:pPr>
      <w:r>
        <w:t>3.2 Phased behaviour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t>Phase 1 (MVP)</w:t>
            </w:r>
          </w:p>
        </w:tc>
        <w:tc>
          <w:tcPr>
            <w:tcW w:type="dxa" w:w="4680"/>
          </w:tcPr>
          <w:p>
            <w:r>
              <w:t>Manual grid maintenance and file import only.</w:t>
            </w:r>
          </w:p>
        </w:tc>
      </w:tr>
      <w:tr>
        <w:tc>
          <w:tcPr>
            <w:tcW w:type="dxa" w:w="4680"/>
          </w:tcPr>
          <w:p>
            <w:r>
              <w:t>Phase 2 (target Agri360)</w:t>
            </w:r>
          </w:p>
        </w:tc>
        <w:tc>
          <w:tcPr>
            <w:tcW w:type="dxa" w:w="4680"/>
          </w:tcPr>
          <w:p>
            <w:r>
              <w:t>Irregularity events captured by Agri360 compliance and ESG processes are written to this KPI store through scheduled routines. Rows are frozen with calculation metadata; the UI is read-only except for authorised overrides.</w:t>
            </w:r>
          </w:p>
        </w:tc>
      </w:tr>
    </w:tbl>
    <w:p/>
    <w:p>
      <w:pPr>
        <w:pStyle w:val="Heading2"/>
      </w:pPr>
      <w:r>
        <w:t>3.3 Scoring link</w:t>
      </w:r>
    </w:p>
    <w:p>
      <w:r>
        <w:rPr>
          <w:b w:val="0"/>
        </w:rPr>
        <w:t>Segmentation configuration assigns a score per irregularity type. At simulation, irregularities in the latest active ESG scope season add to the ESG component together with reforestation and native forest percentages from Farmer Contract KPI.</w:t>
      </w:r>
    </w:p>
    <w:p>
      <w:pPr>
        <w:pStyle w:val="Heading2"/>
      </w:pPr>
      <w:r>
        <w:t>3.4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Farmer code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Farmer business key.</w:t>
            </w:r>
          </w:p>
        </w:tc>
      </w:tr>
      <w:tr>
        <w:tc>
          <w:tcPr>
            <w:tcW w:type="dxa" w:w="3120"/>
          </w:tcPr>
          <w:p>
            <w:r>
              <w:t>Crop season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Crop season.</w:t>
            </w:r>
          </w:p>
        </w:tc>
      </w:tr>
      <w:tr>
        <w:tc>
          <w:tcPr>
            <w:tcW w:type="dxa" w:w="3120"/>
          </w:tcPr>
          <w:p>
            <w:r>
              <w:t>Culture type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Default FCV.</w:t>
            </w:r>
          </w:p>
        </w:tc>
      </w:tr>
      <w:tr>
        <w:tc>
          <w:tcPr>
            <w:tcW w:type="dxa" w:w="3120"/>
          </w:tcPr>
          <w:p>
            <w:r>
              <w:t>Irregularity type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Catalogue reference.</w:t>
            </w:r>
          </w:p>
        </w:tc>
      </w:tr>
    </w:tbl>
    <w:p/>
    <w:p>
      <w:pPr>
        <w:pStyle w:val="Heading1"/>
      </w:pPr>
      <w:r>
        <w:t>4. User Interface &amp; User Experience</w:t>
      </w:r>
    </w:p>
    <w:p>
      <w:pPr>
        <w:pStyle w:val="Heading2"/>
      </w:pPr>
      <w:r>
        <w:t>4.1 SCREEN 01: KPI Data — ESG Irregularities (Web)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63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-SEG-003 - 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Wireframe: ESG irregularities (Farmer Irregularities KPI) screen.</w:t>
      </w:r>
    </w:p>
    <w:p/>
    <w:p>
      <w:pPr>
        <w:pStyle w:val="ListBullet"/>
      </w:pPr>
      <w:r>
        <w:t>Same interaction pattern as Technologies: grid, add, delete, import.</w:t>
      </w:r>
    </w:p>
    <w:p>
      <w:pPr>
        <w:pStyle w:val="ListBullet"/>
      </w:pPr>
      <w:r>
        <w:t>Import columns: Farmer code, Crop season, Culture type (optional), Irregularity type.</w:t>
      </w:r>
    </w:p>
    <w:p>
      <w:pPr>
        <w:pStyle w:val="ListBullet"/>
      </w:pPr>
      <w:r>
        <w:t>Tooltip: reforestation/native forest % maintained on Farmer Contract KPI; events maintained here.</w:t>
      </w:r>
    </w:p>
    <w:p>
      <w:pPr>
        <w:pStyle w:val="Heading1"/>
      </w:pPr>
      <w:r>
        <w:t>5. Policy &amp; Regulatory Requirements</w:t>
      </w:r>
    </w:p>
    <w:p>
      <w:r>
        <w:rPr>
          <w:b w:val="0"/>
        </w:rPr>
        <w:t>ESG data may be sensitive — restrict by role. Align with environmental compliance policies (Legal TBD).</w:t>
      </w:r>
    </w:p>
    <w:p>
      <w:pPr>
        <w:pStyle w:val="Heading1"/>
      </w:pPr>
      <w:r>
        <w:t>6. Technical Requirements</w:t>
      </w:r>
    </w:p>
    <w:p>
      <w:pPr>
        <w:pStyle w:val="Heading2"/>
      </w:pPr>
      <w:r>
        <w:t>6.1 Automations</w:t>
      </w:r>
    </w:p>
    <w:p>
      <w:pPr>
        <w:pStyle w:val="ListBullet"/>
      </w:pPr>
      <w:r>
        <w:t>Phase 1: none (manual and import only).</w:t>
      </w:r>
    </w:p>
    <w:p>
      <w:pPr>
        <w:pStyle w:val="ListBullet"/>
      </w:pPr>
      <w:r>
        <w:t>Phase 2: scheduled sync from Agri360 compliance / ESG case closure.</w:t>
      </w:r>
    </w:p>
    <w:p>
      <w:pPr>
        <w:pStyle w:val="Heading1"/>
      </w:pPr>
      <w:r>
        <w:t>7. Positive &amp; Negative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120"/>
          </w:tcPr>
          <w:p>
            <w:r>
              <w:t>T-01</w:t>
            </w:r>
          </w:p>
        </w:tc>
        <w:tc>
          <w:tcPr>
            <w:tcW w:type="dxa" w:w="3120"/>
          </w:tcPr>
          <w:p>
            <w:r>
              <w:t>Import irregularity</w:t>
            </w:r>
          </w:p>
        </w:tc>
        <w:tc>
          <w:tcPr>
            <w:tcW w:type="dxa" w:w="3120"/>
          </w:tcPr>
          <w:p>
            <w:r>
              <w:t>ESG simulation includes configured score when type matches.</w:t>
            </w:r>
          </w:p>
        </w:tc>
      </w:tr>
      <w:tr>
        <w:tc>
          <w:tcPr>
            <w:tcW w:type="dxa" w:w="3120"/>
          </w:tcPr>
          <w:p>
            <w:r>
              <w:t>T-02</w:t>
            </w:r>
          </w:p>
        </w:tc>
        <w:tc>
          <w:tcPr>
            <w:tcW w:type="dxa" w:w="3120"/>
          </w:tcPr>
          <w:p>
            <w:r>
              <w:t>Multiple irregularities</w:t>
            </w:r>
          </w:p>
        </w:tc>
        <w:tc>
          <w:tcPr>
            <w:tcW w:type="dxa" w:w="3120"/>
          </w:tcPr>
          <w:p>
            <w:r>
              <w:t>Scores aggregate per configuration rules.</w:t>
            </w:r>
          </w:p>
        </w:tc>
      </w:tr>
      <w:tr>
        <w:tc>
          <w:tcPr>
            <w:tcW w:type="dxa" w:w="3120"/>
          </w:tcPr>
          <w:p>
            <w:r>
              <w:t>T-03</w:t>
            </w:r>
          </w:p>
        </w:tc>
        <w:tc>
          <w:tcPr>
            <w:tcW w:type="dxa" w:w="3120"/>
          </w:tcPr>
          <w:p>
            <w:r>
              <w:t>No irregularities</w:t>
            </w:r>
          </w:p>
        </w:tc>
        <w:tc>
          <w:tcPr>
            <w:tcW w:type="dxa" w:w="3120"/>
          </w:tcPr>
          <w:p>
            <w:r>
              <w:t>Only reforestation/native forest portion applies.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