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Functional Specification Document</w:t>
      </w:r>
    </w:p>
    <w:p/>
    <w:p>
      <w:r>
        <w:rPr>
          <w:b/>
        </w:rPr>
        <w:t xml:space="preserve">PROJECT: </w:t>
      </w:r>
      <w:r>
        <w:t>MVP 2 Farming Engagement Hub</w:t>
      </w:r>
    </w:p>
    <w:p>
      <w:r>
        <w:rPr>
          <w:b/>
        </w:rPr>
        <w:t xml:space="preserve">EPIC: </w:t>
      </w:r>
      <w:r>
        <w:t>Farmer Segmentation</w:t>
      </w:r>
    </w:p>
    <w:p>
      <w:r>
        <w:rPr>
          <w:b/>
        </w:rPr>
        <w:t xml:space="preserve">Functionality: </w:t>
      </w:r>
      <w:r>
        <w:t>Segmentation Configuration</w:t>
      </w:r>
    </w:p>
    <w:p>
      <w:r>
        <w:rPr>
          <w:b/>
        </w:rPr>
        <w:t xml:space="preserve">User Story ID: </w:t>
      </w:r>
      <w:r>
        <w:t>PA-SEG-004</w:t>
      </w:r>
    </w:p>
    <w:p>
      <w:r>
        <w:rPr>
          <w:b/>
        </w:rPr>
        <w:t xml:space="preserve">Functional Specification For: </w:t>
      </w:r>
      <w:r>
        <w:t>(X) Web Application    ( ) Mobile Application</w:t>
      </w:r>
    </w:p>
    <w:p>
      <w:r>
        <w:rPr>
          <w:b/>
        </w:rPr>
        <w:t xml:space="preserve">Portal: </w:t>
      </w:r>
      <w:r>
        <w:t>Back Office PA (Web)</w:t>
      </w:r>
    </w:p>
    <w:p>
      <w:r>
        <w:rPr>
          <w:b/>
        </w:rPr>
        <w:t xml:space="preserve">Prototype: </w:t>
      </w:r>
      <w:r>
        <w:t>BAT - Agri 360 — Figma (segmentation flows)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Revision History</w:t>
      </w:r>
    </w:p>
    <w:p>
      <w:pPr>
        <w:pStyle w:val="ListNumber"/>
      </w:pPr>
      <w:r>
        <w:t>2. Sign-off</w:t>
      </w:r>
    </w:p>
    <w:p>
      <w:pPr>
        <w:pStyle w:val="ListNumber"/>
      </w:pPr>
      <w:r>
        <w:t>3. Process Specification</w:t>
      </w:r>
    </w:p>
    <w:p>
      <w:pPr>
        <w:pStyle w:val="ListNumber"/>
      </w:pPr>
      <w:r>
        <w:t>4. User Interface &amp; User Experience</w:t>
      </w:r>
    </w:p>
    <w:p>
      <w:pPr>
        <w:pStyle w:val="ListNumber"/>
      </w:pPr>
      <w:r>
        <w:t>5. Policy &amp; Regulatory Requirements</w:t>
      </w:r>
    </w:p>
    <w:p>
      <w:pPr>
        <w:pStyle w:val="ListNumber"/>
      </w:pPr>
      <w:r>
        <w:t>6. Technical Requirements</w:t>
      </w:r>
    </w:p>
    <w:p>
      <w:pPr>
        <w:pStyle w:val="ListNumber"/>
      </w:pPr>
      <w:r>
        <w:t>7. Positive &amp; Negative Testing</w:t>
      </w:r>
    </w:p>
    <w:p>
      <w:r>
        <w:br w:type="page"/>
      </w:r>
    </w:p>
    <w:p>
      <w:pPr>
        <w:pStyle w:val="Heading1"/>
      </w:pPr>
      <w:r>
        <w:t>1.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340"/>
          </w:tcPr>
          <w:p>
            <w:r>
              <w:t>26/05/2026</w:t>
            </w:r>
          </w:p>
        </w:tc>
        <w:tc>
          <w:tcPr>
            <w:tcW w:type="dxa" w:w="2340"/>
          </w:tcPr>
          <w:p>
            <w:r>
              <w:t>Matheus Kist</w:t>
            </w:r>
          </w:p>
        </w:tc>
        <w:tc>
          <w:tcPr>
            <w:tcW w:type="dxa" w:w="2340"/>
          </w:tcPr>
          <w:p>
            <w:r>
              <w:t>Initial document draft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</w:tbl>
    <w:p/>
    <w:p>
      <w:pPr>
        <w:pStyle w:val="Heading1"/>
      </w:pPr>
      <w:r>
        <w:t>2. Sign-off</w:t>
      </w:r>
    </w:p>
    <w:p>
      <w:r>
        <w:rPr>
          <w:b w:val="0"/>
        </w:rPr>
        <w:t>All screens described in this document are operated by the Backoffice PA User within the Back Office PA portal.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p/>
    <w:p>
      <w:pPr>
        <w:pStyle w:val="Heading1"/>
      </w:pPr>
      <w:r>
        <w:t>3. Process Specification</w:t>
      </w:r>
    </w:p>
    <w:p>
      <w:pPr>
        <w:pStyle w:val="ListBullet"/>
      </w:pPr>
      <w:r>
        <w:t>What? Define segmentation configurations: named scoring rules and segment tiers for farmer simulations.</w:t>
      </w:r>
    </w:p>
    <w:p>
      <w:pPr>
        <w:pStyle w:val="ListBullet"/>
      </w:pPr>
      <w:r>
        <w:t>Who? Backoffice PA User.</w:t>
      </w:r>
    </w:p>
    <w:p>
      <w:pPr>
        <w:pStyle w:val="ListBullet"/>
      </w:pPr>
      <w:r>
        <w:t>When? Before first simulation of a policy cycle; when tiers or KPI weights change.</w:t>
      </w:r>
    </w:p>
    <w:p>
      <w:pPr>
        <w:pStyle w:val="ListBullet"/>
      </w:pPr>
      <w:r>
        <w:t>Where? Segmentation Configurations list and editor (Web).</w:t>
      </w:r>
    </w:p>
    <w:p>
      <w:pPr>
        <w:pStyle w:val="ListBullet"/>
      </w:pPr>
      <w:r>
        <w:t>Why? Reproducible, comparable scoring policies.</w:t>
      </w:r>
    </w:p>
    <w:p>
      <w:pPr>
        <w:pStyle w:val="ListBullet"/>
      </w:pPr>
      <w:r>
        <w:t>How? Create/edit configuration, header segments, per-culture-type KPI blocks and thresholds; save blocked until validations pass.</w:t>
      </w:r>
    </w:p>
    <w:p>
      <w:r>
        <w:rPr>
          <w:b w:val="0"/>
        </w:rPr>
        <w:t>Configurations are crop-season-agnostic. Crop seasons are selected when a simulation is run (PA-SEG-005).</w:t>
      </w:r>
    </w:p>
    <w:p>
      <w:pPr>
        <w:pStyle w:val="Heading2"/>
      </w:pPr>
      <w:r>
        <w:t>3.2 Logical structure</w:t>
      </w:r>
    </w:p>
    <w:p>
      <w:pPr>
        <w:pStyle w:val="ListBullet"/>
      </w:pPr>
      <w:r>
        <w:t>Configuration name.</w:t>
      </w:r>
    </w:p>
    <w:p>
      <w:pPr>
        <w:pStyle w:val="ListBullet"/>
      </w:pPr>
      <w:r>
        <w:t>Header segments: name, only-exclusive-farmer flag, bank deposit discount, tobacco discount.</w:t>
      </w:r>
    </w:p>
    <w:p>
      <w:pPr>
        <w:pStyle w:val="ListBullet"/>
      </w:pPr>
      <w:r>
        <w:t>Per culture type (FCV, BLY, AM, …): maximum score, segment score thresholds, seven KPI blocks (Loyalty, Quality, Financial, Technology, ESG, Yield, Scale).</w:t>
      </w:r>
    </w:p>
    <w:p>
      <w:pPr>
        <w:pStyle w:val="ListBullet"/>
      </w:pPr>
      <w:r>
        <w:t>Each KPI block: max score, relevance % (read-only: KPI max ÷ culture max), and rule rows.</w:t>
      </w:r>
    </w:p>
    <w:p>
      <w:pPr>
        <w:pStyle w:val="Heading1"/>
      </w:pPr>
      <w:r>
        <w:t>4. User Interface &amp; User Experience</w:t>
      </w:r>
    </w:p>
    <w:p>
      <w:pPr>
        <w:pStyle w:val="Heading2"/>
      </w:pPr>
      <w:r>
        <w:t>4.1 SCREEN 01: Configurations — List</w:t>
      </w:r>
    </w:p>
    <w:p>
      <w:pPr>
        <w:pStyle w:val="ListBullet"/>
      </w:pPr>
      <w:r>
        <w:t>Columns: name, culture types included.</w:t>
      </w:r>
    </w:p>
    <w:p>
      <w:pPr>
        <w:pStyle w:val="ListBullet"/>
      </w:pPr>
      <w:r>
        <w:t>Actions: Create, Edit, Duplicate (copies full rule set under new name).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120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4 - 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2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Wireframe: Segmentation configurations list.</w:t>
      </w:r>
    </w:p>
    <w:p/>
    <w:p>
      <w:pPr>
        <w:pStyle w:val="Heading2"/>
      </w:pPr>
      <w:r>
        <w:t>4.2 SCREEN 02: Configuration editor</w:t>
      </w:r>
    </w:p>
    <w:p>
      <w:pPr>
        <w:pStyle w:val="Heading3"/>
      </w:pPr>
      <w:r>
        <w:t>4.2.1 Header — Configuration name and segments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229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4 - 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29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 — Wireframe: configuration header (name and segment definitions).</w:t>
      </w:r>
    </w:p>
    <w:p/>
    <w:p>
      <w:pPr>
        <w:pStyle w:val="ListBullet"/>
      </w:pPr>
      <w:r>
        <w:t>At least one segment required.</w:t>
      </w:r>
    </w:p>
    <w:p>
      <w:pPr>
        <w:pStyle w:val="ListBullet"/>
      </w:pPr>
      <w:r>
        <w:t>Range min (per culture type tab): minimum total simulation score to qualify; may be negative.</w:t>
      </w:r>
    </w:p>
    <w:p>
      <w:pPr>
        <w:pStyle w:val="ListBullet"/>
      </w:pPr>
      <w:r>
        <w:t>Empty range min: catch-all tier after scored thresholds.</w:t>
      </w:r>
    </w:p>
    <w:p>
      <w:pPr>
        <w:pStyle w:val="ListBullet"/>
      </w:pPr>
      <w:r>
        <w:t>Only exclusive farmer: non-exclusive farmers cannot receive that segment in simulation.</w:t>
      </w:r>
    </w:p>
    <w:p>
      <w:pPr>
        <w:pStyle w:val="Heading3"/>
      </w:pPr>
      <w:r>
        <w:t>4.2.2 Culture type — maximum score and segment thresholds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576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4 - CultureType 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76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 — Wireframe: culture type block (maximum score and segment thresholds).</w:t>
      </w:r>
    </w:p>
    <w:p/>
    <w:p>
      <w:pPr>
        <w:pStyle w:val="Heading3"/>
      </w:pPr>
      <w:r>
        <w:t>4.2.3 KPI blocks per culture type</w:t>
      </w:r>
    </w:p>
    <w:p>
      <w:r>
        <w:rPr>
          <w:b w:val="0"/>
        </w:rPr>
        <w:t>Each culture type tab contains seven KPI configuration areas. Wireframes below illustrate each KPI editor.</w:t>
      </w:r>
    </w:p>
    <w:p>
      <w:pPr>
        <w:pStyle w:val="Heading4"/>
      </w:pPr>
      <w:r>
        <w:t>4.2.3.1 Loyalty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552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4 - Loyal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52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 — Wireframe: Loyalty KPI configuration.</w:t>
      </w:r>
    </w:p>
    <w:p/>
    <w:p>
      <w:pPr>
        <w:pStyle w:val="Heading4"/>
      </w:pPr>
      <w:r>
        <w:t>4.2.3.2 Quality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482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4 - Qua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8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 — Wireframe: Quality KPI configuration.</w:t>
      </w:r>
    </w:p>
    <w:p/>
    <w:p>
      <w:pPr>
        <w:pStyle w:val="Heading4"/>
      </w:pPr>
      <w:r>
        <w:t>4.2.3.3 Financial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244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4 - Financi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 — Wireframe: Financial KPI configuration.</w:t>
      </w:r>
    </w:p>
    <w:p/>
    <w:p>
      <w:pPr>
        <w:pStyle w:val="Heading4"/>
      </w:pPr>
      <w:r>
        <w:t>4.2.3.4 Technology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858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4 - Technolog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5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 — Wireframe: Technology KPI configuration.</w:t>
      </w:r>
    </w:p>
    <w:p/>
    <w:p>
      <w:pPr>
        <w:pStyle w:val="Heading4"/>
      </w:pPr>
      <w:r>
        <w:t>4.2.3.5 ESG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0647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4 - ES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8 — Wireframe: ESG KPI configuration.</w:t>
      </w:r>
    </w:p>
    <w:p/>
    <w:p>
      <w:pPr>
        <w:pStyle w:val="Heading4"/>
      </w:pPr>
      <w:r>
        <w:t>4.2.3.6 Yield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391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4 - Yiel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3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9 — Wireframe: Yield KPI configuration.</w:t>
      </w:r>
    </w:p>
    <w:p/>
    <w:p>
      <w:pPr>
        <w:pStyle w:val="Heading4"/>
      </w:pPr>
      <w:r>
        <w:t>4.2.3.7 Scale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441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4 - Sca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10 — Wireframe: Scale KPI configuration.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KPI block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Configuration content</w:t>
            </w:r>
          </w:p>
        </w:tc>
      </w:tr>
      <w:tr>
        <w:tc>
          <w:tcPr>
            <w:tcW w:type="dxa" w:w="4680"/>
          </w:tcPr>
          <w:p>
            <w:r>
              <w:t>Loyalty</w:t>
            </w:r>
          </w:p>
        </w:tc>
        <w:tc>
          <w:tcPr>
            <w:tcW w:type="dxa" w:w="4680"/>
          </w:tcPr>
          <w:p>
            <w:r>
              <w:t>Season-quantity rules (planting count + delivery window); historical volume on consolidated delivered %.</w:t>
            </w:r>
          </w:p>
        </w:tc>
      </w:tr>
      <w:tr>
        <w:tc>
          <w:tcPr>
            <w:tcW w:type="dxa" w:w="4680"/>
          </w:tcPr>
          <w:p>
            <w:r>
              <w:t>Quality</w:t>
            </w:r>
          </w:p>
        </w:tc>
        <w:tc>
          <w:tcPr>
            <w:tcW w:type="dxa" w:w="4680"/>
          </w:tcPr>
          <w:p>
            <w:r>
              <w:t>IQS ranges with look-back; scores for NTRM and quality mixture flags.</w:t>
            </w:r>
          </w:p>
        </w:tc>
      </w:tr>
      <w:tr>
        <w:tc>
          <w:tcPr>
            <w:tcW w:type="dxa" w:w="4680"/>
          </w:tcPr>
          <w:p>
            <w:r>
              <w:t>Financial</w:t>
            </w:r>
          </w:p>
        </w:tc>
        <w:tc>
          <w:tcPr>
            <w:tcW w:type="dxa" w:w="4680"/>
          </w:tcPr>
          <w:p>
            <w:r>
              <w:t>Self-funding % ranges; score for have-debt flag.</w:t>
            </w:r>
          </w:p>
        </w:tc>
      </w:tr>
      <w:tr>
        <w:tc>
          <w:tcPr>
            <w:tcW w:type="dxa" w:w="4680"/>
          </w:tcPr>
          <w:p>
            <w:r>
              <w:t>Technology</w:t>
            </w:r>
          </w:p>
        </w:tc>
        <w:tc>
          <w:tcPr>
            <w:tcW w:type="dxa" w:w="4680"/>
          </w:tcPr>
          <w:p>
            <w:r>
              <w:t>Score per technology from catalogue.</w:t>
            </w:r>
          </w:p>
        </w:tc>
      </w:tr>
      <w:tr>
        <w:tc>
          <w:tcPr>
            <w:tcW w:type="dxa" w:w="4680"/>
          </w:tcPr>
          <w:p>
            <w:r>
              <w:t>ESG</w:t>
            </w:r>
          </w:p>
        </w:tc>
        <w:tc>
          <w:tcPr>
            <w:tcW w:type="dxa" w:w="4680"/>
          </w:tcPr>
          <w:p>
            <w:r>
              <w:t>Reforestation/native forest points per % with caps; score per irregularity type.</w:t>
            </w:r>
          </w:p>
        </w:tc>
      </w:tr>
      <w:tr>
        <w:tc>
          <w:tcPr>
            <w:tcW w:type="dxa" w:w="4680"/>
          </w:tcPr>
          <w:p>
            <w:r>
              <w:t>Yield</w:t>
            </w:r>
          </w:p>
        </w:tc>
        <w:tc>
          <w:tcPr>
            <w:tcW w:type="dxa" w:w="4680"/>
          </w:tcPr>
          <w:p>
            <w:r>
              <w:t>Numeric yield ranges with look-back.</w:t>
            </w:r>
          </w:p>
        </w:tc>
      </w:tr>
      <w:tr>
        <w:tc>
          <w:tcPr>
            <w:tcW w:type="dxa" w:w="4680"/>
          </w:tcPr>
          <w:p>
            <w:r>
              <w:t>Scale</w:t>
            </w:r>
          </w:p>
        </w:tc>
        <w:tc>
          <w:tcPr>
            <w:tcW w:type="dxa" w:w="4680"/>
          </w:tcPr>
          <w:p>
            <w:r>
              <w:t>Numeric scale (ha) ranges with look-back.</w:t>
            </w:r>
          </w:p>
        </w:tc>
      </w:tr>
    </w:tbl>
    <w:p/>
    <w:p>
      <w:pPr>
        <w:pStyle w:val="Heading2"/>
      </w:pPr>
      <w:r>
        <w:t>4.3 Business rules — Save validation</w:t>
      </w:r>
    </w:p>
    <w:p>
      <w:pPr>
        <w:pStyle w:val="ListNumber"/>
      </w:pPr>
      <w:r>
        <w:t>Sum of KPI max scores = culture type maximum score.</w:t>
      </w:r>
    </w:p>
    <w:p>
      <w:pPr>
        <w:pStyle w:val="ListNumber"/>
      </w:pPr>
      <w:r>
        <w:t>Each KPI max score must equal derived cap from its rules (see table below).</w:t>
      </w:r>
    </w:p>
    <w:p>
      <w:pPr>
        <w:pStyle w:val="ListNumber"/>
      </w:pPr>
      <w:r>
        <w:t>All seven KPI blocks required per culture type.</w:t>
      </w:r>
    </w:p>
    <w:p>
      <w:pPr>
        <w:pStyle w:val="ListNumber"/>
      </w:pPr>
      <w:r>
        <w:t>At least one header segment.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Derived max score</w:t>
            </w:r>
          </w:p>
        </w:tc>
      </w:tr>
      <w:tr>
        <w:tc>
          <w:tcPr>
            <w:tcW w:type="dxa" w:w="4680"/>
          </w:tcPr>
          <w:p>
            <w:r>
              <w:t>Loyalty</w:t>
            </w:r>
          </w:p>
        </w:tc>
        <w:tc>
          <w:tcPr>
            <w:tcW w:type="dxa" w:w="4680"/>
          </w:tcPr>
          <w:p>
            <w:r>
              <w:t>Max positive season-quantity score + max positive historical volume score.</w:t>
            </w:r>
          </w:p>
        </w:tc>
      </w:tr>
      <w:tr>
        <w:tc>
          <w:tcPr>
            <w:tcW w:type="dxa" w:w="4680"/>
          </w:tcPr>
          <w:p>
            <w:r>
              <w:t>Quality</w:t>
            </w:r>
          </w:p>
        </w:tc>
        <w:tc>
          <w:tcPr>
            <w:tcW w:type="dxa" w:w="4680"/>
          </w:tcPr>
          <w:p>
            <w:r>
              <w:t>Maximum IQS range score (0 if no ranges).</w:t>
            </w:r>
          </w:p>
        </w:tc>
      </w:tr>
      <w:tr>
        <w:tc>
          <w:tcPr>
            <w:tcW w:type="dxa" w:w="4680"/>
          </w:tcPr>
          <w:p>
            <w:r>
              <w:t>Financial</w:t>
            </w:r>
          </w:p>
        </w:tc>
        <w:tc>
          <w:tcPr>
            <w:tcW w:type="dxa" w:w="4680"/>
          </w:tcPr>
          <w:p>
            <w:r>
              <w:t>Maximum self-funding range score.</w:t>
            </w:r>
          </w:p>
        </w:tc>
      </w:tr>
      <w:tr>
        <w:tc>
          <w:tcPr>
            <w:tcW w:type="dxa" w:w="4680"/>
          </w:tcPr>
          <w:p>
            <w:r>
              <w:t>Technology</w:t>
            </w:r>
          </w:p>
        </w:tc>
        <w:tc>
          <w:tcPr>
            <w:tcW w:type="dxa" w:w="4680"/>
          </w:tcPr>
          <w:p>
            <w:r>
              <w:t>Sum of positive technology scores.</w:t>
            </w:r>
          </w:p>
        </w:tc>
      </w:tr>
      <w:tr>
        <w:tc>
          <w:tcPr>
            <w:tcW w:type="dxa" w:w="4680"/>
          </w:tcPr>
          <w:p>
            <w:r>
              <w:t>ESG</w:t>
            </w:r>
          </w:p>
        </w:tc>
        <w:tc>
          <w:tcPr>
            <w:tcW w:type="dxa" w:w="4680"/>
          </w:tcPr>
          <w:p>
            <w:r>
              <w:t>Reforestation cap + native forest cap + sum of positive irregularity scores.</w:t>
            </w:r>
          </w:p>
        </w:tc>
      </w:tr>
      <w:tr>
        <w:tc>
          <w:tcPr>
            <w:tcW w:type="dxa" w:w="4680"/>
          </w:tcPr>
          <w:p>
            <w:r>
              <w:t>Yield</w:t>
            </w:r>
          </w:p>
        </w:tc>
        <w:tc>
          <w:tcPr>
            <w:tcW w:type="dxa" w:w="4680"/>
          </w:tcPr>
          <w:p>
            <w:r>
              <w:t>Maximum yield range score.</w:t>
            </w:r>
          </w:p>
        </w:tc>
      </w:tr>
      <w:tr>
        <w:tc>
          <w:tcPr>
            <w:tcW w:type="dxa" w:w="4680"/>
          </w:tcPr>
          <w:p>
            <w:r>
              <w:t>Scale</w:t>
            </w:r>
          </w:p>
        </w:tc>
        <w:tc>
          <w:tcPr>
            <w:tcW w:type="dxa" w:w="4680"/>
          </w:tcPr>
          <w:p>
            <w:r>
              <w:t>Maximum scale range score.</w:t>
            </w:r>
          </w:p>
        </w:tc>
      </w:tr>
    </w:tbl>
    <w:p/>
    <w:p>
      <w:pPr>
        <w:pStyle w:val="Heading2"/>
      </w:pPr>
      <w:r>
        <w:t>4.4 Loyalty precedence (simulation)</w:t>
      </w:r>
    </w:p>
    <w:p>
      <w:r>
        <w:rPr>
          <w:b w:val="0"/>
        </w:rPr>
        <w:t>When multiple season-quantity rules match, the rule with the highest planting crop season amount wins. Consolidated delivered % uses sum of delivered kg ÷ sum of contracted kg across loyalty scope seasons — not an average of season percentages.</w:t>
      </w:r>
    </w:p>
    <w:p>
      <w:pPr>
        <w:pStyle w:val="Heading1"/>
      </w:pPr>
      <w:r>
        <w:t>5. Policy &amp; Regulatory Requirements</w:t>
      </w:r>
    </w:p>
    <w:p>
      <w:r>
        <w:rPr>
          <w:b w:val="0"/>
        </w:rPr>
        <w:t>Restrict create/edit to Backoffice PA User. Duplicate preserves historical simulations linked to original configuration id. Discount fields may affect fiscal reporting — confirm with Finance.</w:t>
      </w:r>
    </w:p>
    <w:p>
      <w:pPr>
        <w:pStyle w:val="Heading1"/>
      </w:pPr>
      <w:r>
        <w:t>6. Technical Requirements</w:t>
      </w:r>
    </w:p>
    <w:p>
      <w:pPr>
        <w:pStyle w:val="ListBullet"/>
      </w:pPr>
      <w:r>
        <w:t>Culture type, technology, and irregularity catalogues for pickers.</w:t>
      </w:r>
    </w:p>
    <w:p>
      <w:pPr>
        <w:pStyle w:val="ListBullet"/>
      </w:pPr>
      <w:r>
        <w:t>Full graph save under 5 seconds for typical three culture types.</w:t>
      </w:r>
    </w:p>
    <w:p>
      <w:pPr>
        <w:pStyle w:val="ListBullet"/>
      </w:pPr>
      <w:r>
        <w:t>Optimistic concurrency on update (target).</w:t>
      </w:r>
    </w:p>
    <w:p>
      <w:pPr>
        <w:pStyle w:val="Heading1"/>
      </w:pPr>
      <w:r>
        <w:t>7. Positive &amp; Negative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120"/>
          </w:tcPr>
          <w:p>
            <w:r>
              <w:t>T-01</w:t>
            </w:r>
          </w:p>
        </w:tc>
        <w:tc>
          <w:tcPr>
            <w:tcW w:type="dxa" w:w="3120"/>
          </w:tcPr>
          <w:p>
            <w:r>
              <w:t>KPI sum ≠ maximum score</w:t>
            </w:r>
          </w:p>
        </w:tc>
        <w:tc>
          <w:tcPr>
            <w:tcW w:type="dxa" w:w="3120"/>
          </w:tcPr>
          <w:p>
            <w:r>
              <w:t>Save rejected with clear message.</w:t>
            </w:r>
          </w:p>
        </w:tc>
      </w:tr>
      <w:tr>
        <w:tc>
          <w:tcPr>
            <w:tcW w:type="dxa" w:w="3120"/>
          </w:tcPr>
          <w:p>
            <w:r>
              <w:t>T-02</w:t>
            </w:r>
          </w:p>
        </w:tc>
        <w:tc>
          <w:tcPr>
            <w:tcW w:type="dxa" w:w="3120"/>
          </w:tcPr>
          <w:p>
            <w:r>
              <w:t>Technology max ≠ sum of tech scores</w:t>
            </w:r>
          </w:p>
        </w:tc>
        <w:tc>
          <w:tcPr>
            <w:tcW w:type="dxa" w:w="3120"/>
          </w:tcPr>
          <w:p>
            <w:r>
              <w:t>Save rejected.</w:t>
            </w:r>
          </w:p>
        </w:tc>
      </w:tr>
      <w:tr>
        <w:tc>
          <w:tcPr>
            <w:tcW w:type="dxa" w:w="3120"/>
          </w:tcPr>
          <w:p>
            <w:r>
              <w:t>T-03</w:t>
            </w:r>
          </w:p>
        </w:tc>
        <w:tc>
          <w:tcPr>
            <w:tcW w:type="dxa" w:w="3120"/>
          </w:tcPr>
          <w:p>
            <w:r>
              <w:t>Duplicate configuration</w:t>
            </w:r>
          </w:p>
        </w:tc>
        <w:tc>
          <w:tcPr>
            <w:tcW w:type="dxa" w:w="3120"/>
          </w:tcPr>
          <w:p>
            <w:r>
              <w:t>New configuration id; rules copied.</w:t>
            </w:r>
          </w:p>
        </w:tc>
      </w:tr>
      <w:tr>
        <w:tc>
          <w:tcPr>
            <w:tcW w:type="dxa" w:w="3120"/>
          </w:tcPr>
          <w:p>
            <w:r>
              <w:t>T-04</w:t>
            </w:r>
          </w:p>
        </w:tc>
        <w:tc>
          <w:tcPr>
            <w:tcW w:type="dxa" w:w="3120"/>
          </w:tcPr>
          <w:p>
            <w:r>
              <w:t>Valid 100-point configuration</w:t>
            </w:r>
          </w:p>
        </w:tc>
        <w:tc>
          <w:tcPr>
            <w:tcW w:type="dxa" w:w="3120"/>
          </w:tcPr>
          <w:p>
            <w:r>
              <w:t>Save succeeds.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