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name-matthew-steven-krantz-md-ms"/>
    <w:p>
      <w:pPr>
        <w:pStyle w:val="Heading1"/>
      </w:pPr>
      <w:r>
        <w:t xml:space="preserve">Name: Matthew Steven Krantz, MD, MS</w:t>
      </w:r>
    </w:p>
    <w:p>
      <w:pPr>
        <w:pStyle w:val="FirstParagraph"/>
      </w:pPr>
      <w:r>
        <w:t xml:space="preserve">Office Address: 2525 West End Ave, Suite 9500, Rm 9512, Nashville, TN 37203</w:t>
      </w:r>
    </w:p>
    <w:p>
      <w:pPr>
        <w:pStyle w:val="BodyText"/>
      </w:pPr>
      <w:r>
        <w:t xml:space="preserve">Office Phone Number: +1 (615) 936-8415</w:t>
      </w:r>
    </w:p>
    <w:p>
      <w:pPr>
        <w:pStyle w:val="BodyText"/>
      </w:pPr>
      <w:r>
        <w:t xml:space="preserve">Email: matthew.s.krantz@vumc.org</w:t>
      </w:r>
    </w:p>
    <w:p>
      <w:pPr>
        <w:pStyle w:val="BodyText"/>
      </w:pPr>
      <w:r>
        <w:t xml:space="preserve">Lab Website:</w:t>
      </w:r>
      <w:r>
        <w:t xml:space="preserve"> </w:t>
      </w:r>
      <w:hyperlink r:id="rId17">
        <w:r>
          <w:rPr>
            <w:rStyle w:val="Hyperlink"/>
          </w:rPr>
          <w:t xml:space="preserve">krantzlab.org</w:t>
        </w:r>
      </w:hyperlink>
    </w:p>
    <w:bookmarkEnd w:id="18"/>
    <w:bookmarkStart w:id="19" w:name="education"/>
    <w:p>
      <w:pPr>
        <w:pStyle w:val="Heading1"/>
      </w:pPr>
      <w:r>
        <w:t xml:space="preserve">Education</w:t>
      </w:r>
    </w:p>
    <w:p>
      <w:pPr>
        <w:pStyle w:val="Compact"/>
        <w:numPr>
          <w:ilvl w:val="0"/>
          <w:numId w:val="1001"/>
        </w:numPr>
      </w:pPr>
      <w:r>
        <w:rPr>
          <w:b/>
          <w:bCs/>
        </w:rPr>
        <w:t xml:space="preserve">College:</w:t>
      </w:r>
      <w:r>
        <w:t xml:space="preserve"> </w:t>
      </w:r>
      <w:r>
        <w:t xml:space="preserve">University of North Carolina, Chapel Hill, NC. BS, 2012 (Biology with distinction; Minors: Chemistry, Writing for the Screen and Stage).</w:t>
      </w:r>
    </w:p>
    <w:p>
      <w:pPr>
        <w:pStyle w:val="Compact"/>
        <w:numPr>
          <w:ilvl w:val="0"/>
          <w:numId w:val="1001"/>
        </w:numPr>
      </w:pPr>
      <w:r>
        <w:rPr>
          <w:b/>
          <w:bCs/>
        </w:rPr>
        <w:t xml:space="preserve">Professional:</w:t>
      </w:r>
      <w:r>
        <w:t xml:space="preserve"> </w:t>
      </w:r>
      <w:r>
        <w:t xml:space="preserve">University of North Carolina School of Medicine, Chapel Hill, NC. MD, 2016.</w:t>
      </w:r>
    </w:p>
    <w:p>
      <w:pPr>
        <w:pStyle w:val="Compact"/>
        <w:numPr>
          <w:ilvl w:val="0"/>
          <w:numId w:val="1001"/>
        </w:numPr>
      </w:pPr>
      <w:r>
        <w:rPr>
          <w:b/>
          <w:bCs/>
        </w:rPr>
        <w:t xml:space="preserve">Graduate:</w:t>
      </w:r>
      <w:r>
        <w:t xml:space="preserve"> </w:t>
      </w:r>
      <w:r>
        <w:t xml:space="preserve">Vanderbilt University, Nashville, TN. MS, Biomedical Informatics, 2026.</w:t>
      </w:r>
    </w:p>
    <w:p>
      <w:pPr>
        <w:pStyle w:val="Compact"/>
        <w:numPr>
          <w:ilvl w:val="0"/>
          <w:numId w:val="1001"/>
        </w:numPr>
      </w:pPr>
      <w:r>
        <w:rPr>
          <w:b/>
          <w:bCs/>
        </w:rPr>
        <w:t xml:space="preserve">Postgraduate Training:</w:t>
      </w:r>
      <w:r>
        <w:t xml:space="preserve"> </w:t>
      </w:r>
      <w:r>
        <w:t xml:space="preserve">Internship/Residency, Internal Medicine/Pediatrics, Vanderbilt University Medical Center, Nashville, TN, 2016–2020.</w:t>
      </w:r>
    </w:p>
    <w:p>
      <w:pPr>
        <w:pStyle w:val="Compact"/>
        <w:numPr>
          <w:ilvl w:val="0"/>
          <w:numId w:val="1001"/>
        </w:numPr>
      </w:pPr>
      <w:r>
        <w:rPr>
          <w:b/>
          <w:bCs/>
        </w:rPr>
        <w:t xml:space="preserve">Postgraduate Training:</w:t>
      </w:r>
      <w:r>
        <w:t xml:space="preserve"> </w:t>
      </w:r>
      <w:r>
        <w:t xml:space="preserve">Fellowship, Allergy/Immunology, Vanderbilt University Medical Center, Nashville, TN, 2020–2024.</w:t>
      </w:r>
    </w:p>
    <w:bookmarkEnd w:id="19"/>
    <w:bookmarkStart w:id="20" w:name="licensure-and-certification"/>
    <w:p>
      <w:pPr>
        <w:pStyle w:val="Heading1"/>
      </w:pPr>
      <w:r>
        <w:t xml:space="preserve">Licensure and Certification</w:t>
      </w:r>
    </w:p>
    <w:p>
      <w:pPr>
        <w:pStyle w:val="Compact"/>
        <w:numPr>
          <w:ilvl w:val="0"/>
          <w:numId w:val="1002"/>
        </w:numPr>
      </w:pPr>
      <w:r>
        <w:t xml:space="preserve">American Board of Allergy and Immunology (2022-Present)</w:t>
      </w:r>
    </w:p>
    <w:p>
      <w:pPr>
        <w:pStyle w:val="Compact"/>
        <w:numPr>
          <w:ilvl w:val="0"/>
          <w:numId w:val="1002"/>
        </w:numPr>
      </w:pPr>
      <w:r>
        <w:t xml:space="preserve">American Board of Internal Medicine (2020-Present)</w:t>
      </w:r>
    </w:p>
    <w:p>
      <w:pPr>
        <w:pStyle w:val="Compact"/>
        <w:numPr>
          <w:ilvl w:val="0"/>
          <w:numId w:val="1002"/>
        </w:numPr>
      </w:pPr>
      <w:r>
        <w:t xml:space="preserve">American Board of Pediatrics (2020-Present)</w:t>
      </w:r>
    </w:p>
    <w:p>
      <w:pPr>
        <w:pStyle w:val="Compact"/>
        <w:numPr>
          <w:ilvl w:val="0"/>
          <w:numId w:val="1002"/>
        </w:numPr>
      </w:pPr>
      <w:r>
        <w:t xml:space="preserve">Tennesee Medical License (2019-Present)</w:t>
      </w:r>
    </w:p>
    <w:bookmarkEnd w:id="20"/>
    <w:bookmarkStart w:id="21" w:name="academic-appointments"/>
    <w:p>
      <w:pPr>
        <w:pStyle w:val="Heading1"/>
      </w:pPr>
      <w:r>
        <w:t xml:space="preserve">Academic Appointments</w:t>
      </w:r>
    </w:p>
    <w:p>
      <w:pPr>
        <w:pStyle w:val="Compact"/>
        <w:numPr>
          <w:ilvl w:val="0"/>
          <w:numId w:val="1003"/>
        </w:numPr>
      </w:pPr>
      <w:r>
        <w:t xml:space="preserve">2025–Present: Assistant Professor of Medicine and Biomedical Informatics, Vanderbilt University, Nashville, TN.</w:t>
      </w:r>
    </w:p>
    <w:p>
      <w:pPr>
        <w:pStyle w:val="Compact"/>
        <w:numPr>
          <w:ilvl w:val="0"/>
          <w:numId w:val="1003"/>
        </w:numPr>
      </w:pPr>
      <w:r>
        <w:t xml:space="preserve">2024–2025: Instructor in Medicine and Biomedical Informatics, Vanderbilt University, Nashville, TN.</w:t>
      </w:r>
    </w:p>
    <w:bookmarkEnd w:id="21"/>
    <w:bookmarkStart w:id="22" w:name="professional-organizations"/>
    <w:p>
      <w:pPr>
        <w:pStyle w:val="Heading1"/>
      </w:pPr>
      <w:r>
        <w:t xml:space="preserve">Professional Organizations</w:t>
      </w:r>
    </w:p>
    <w:p>
      <w:pPr>
        <w:pStyle w:val="Compact"/>
        <w:numPr>
          <w:ilvl w:val="0"/>
          <w:numId w:val="1004"/>
        </w:numPr>
      </w:pPr>
      <w:r>
        <w:t xml:space="preserve">American Academy of Allergy, Asthma, and Immunology</w:t>
      </w:r>
      <w:r>
        <w:br/>
      </w:r>
    </w:p>
    <w:p>
      <w:pPr>
        <w:pStyle w:val="Compact"/>
        <w:numPr>
          <w:ilvl w:val="0"/>
          <w:numId w:val="1004"/>
        </w:numPr>
      </w:pPr>
      <w:r>
        <w:t xml:space="preserve">American College of Allergy, Asthma, and Immunology</w:t>
      </w:r>
      <w:r>
        <w:br/>
      </w:r>
    </w:p>
    <w:p>
      <w:pPr>
        <w:pStyle w:val="Compact"/>
        <w:numPr>
          <w:ilvl w:val="0"/>
          <w:numId w:val="1004"/>
        </w:numPr>
      </w:pPr>
      <w:r>
        <w:t xml:space="preserve">American Society of Human Genetics</w:t>
      </w:r>
      <w:r>
        <w:br/>
      </w:r>
    </w:p>
    <w:p>
      <w:pPr>
        <w:pStyle w:val="Compact"/>
        <w:numPr>
          <w:ilvl w:val="0"/>
          <w:numId w:val="1004"/>
        </w:numPr>
      </w:pPr>
      <w:r>
        <w:t xml:space="preserve">American Medical Informatics Association</w:t>
      </w:r>
      <w:r>
        <w:br/>
      </w:r>
    </w:p>
    <w:p>
      <w:pPr>
        <w:pStyle w:val="Compact"/>
        <w:numPr>
          <w:ilvl w:val="0"/>
          <w:numId w:val="1004"/>
        </w:numPr>
      </w:pPr>
      <w:r>
        <w:t xml:space="preserve">Pharmacogenomics Global Research Network</w:t>
      </w:r>
      <w:r>
        <w:br/>
      </w:r>
    </w:p>
    <w:p>
      <w:pPr>
        <w:pStyle w:val="Compact"/>
        <w:numPr>
          <w:ilvl w:val="0"/>
          <w:numId w:val="1004"/>
        </w:numPr>
      </w:pPr>
      <w:r>
        <w:t xml:space="preserve">Society for Investigative Dermatology</w:t>
      </w:r>
      <w:r>
        <w:br/>
      </w:r>
    </w:p>
    <w:p>
      <w:pPr>
        <w:pStyle w:val="Compact"/>
        <w:numPr>
          <w:ilvl w:val="0"/>
          <w:numId w:val="1004"/>
        </w:numPr>
      </w:pPr>
      <w:r>
        <w:t xml:space="preserve">American Association of Immunologists</w:t>
      </w:r>
    </w:p>
    <w:bookmarkEnd w:id="22"/>
    <w:bookmarkStart w:id="27" w:name="professional-activities"/>
    <w:p>
      <w:pPr>
        <w:pStyle w:val="Heading1"/>
      </w:pPr>
      <w:r>
        <w:t xml:space="preserve">Professional Activities</w:t>
      </w:r>
    </w:p>
    <w:bookmarkStart w:id="23" w:name="intramural"/>
    <w:p>
      <w:pPr>
        <w:pStyle w:val="Heading2"/>
      </w:pPr>
      <w:r>
        <w:t xml:space="preserve">Intramural</w:t>
      </w:r>
    </w:p>
    <w:p>
      <w:pPr>
        <w:pStyle w:val="Compact"/>
        <w:numPr>
          <w:ilvl w:val="0"/>
          <w:numId w:val="1005"/>
        </w:numPr>
      </w:pPr>
      <w:r>
        <w:t xml:space="preserve">Neilson Society Steering Committee Member (2025-Present)</w:t>
      </w:r>
    </w:p>
    <w:p>
      <w:pPr>
        <w:pStyle w:val="Compact"/>
        <w:numPr>
          <w:ilvl w:val="0"/>
          <w:numId w:val="1005"/>
        </w:numPr>
      </w:pPr>
      <w:r>
        <w:t xml:space="preserve">Allergy/Immunology Fellowship Program Interviews (2024-Present)</w:t>
      </w:r>
    </w:p>
    <w:bookmarkEnd w:id="23"/>
    <w:bookmarkStart w:id="24" w:name="extramural"/>
    <w:p>
      <w:pPr>
        <w:pStyle w:val="Heading2"/>
      </w:pPr>
      <w:r>
        <w:t xml:space="preserve">Extramural</w:t>
      </w:r>
    </w:p>
    <w:p>
      <w:pPr>
        <w:pStyle w:val="Compact"/>
        <w:numPr>
          <w:ilvl w:val="0"/>
          <w:numId w:val="1006"/>
        </w:numPr>
      </w:pPr>
      <w:r>
        <w:t xml:space="preserve">AAAAI Electronic Health Record Workgroup (2025-Present)</w:t>
      </w:r>
    </w:p>
    <w:p>
      <w:pPr>
        <w:pStyle w:val="Compact"/>
        <w:numPr>
          <w:ilvl w:val="0"/>
          <w:numId w:val="1006"/>
        </w:numPr>
      </w:pPr>
      <w:r>
        <w:t xml:space="preserve">AAAAI Adverse Reactions to Drugs, Biologicals, and Vaccines Committee Member (2021-Present)</w:t>
      </w:r>
    </w:p>
    <w:p>
      <w:pPr>
        <w:pStyle w:val="Compact"/>
        <w:numPr>
          <w:ilvl w:val="0"/>
          <w:numId w:val="1006"/>
        </w:numPr>
      </w:pPr>
      <w:r>
        <w:t xml:space="preserve">AAAAI Clinical Science Workgroup (Drug Allergy) for 2023 Annual Meeting (2021-2023)</w:t>
      </w:r>
    </w:p>
    <w:p>
      <w:pPr>
        <w:pStyle w:val="Compact"/>
        <w:numPr>
          <w:ilvl w:val="0"/>
          <w:numId w:val="1006"/>
        </w:numPr>
      </w:pPr>
      <w:r>
        <w:t xml:space="preserve">Human Diagnosis Project, Editor, Pediatrics Section (2020-2024)</w:t>
      </w:r>
    </w:p>
    <w:bookmarkEnd w:id="24"/>
    <w:bookmarkStart w:id="25" w:name="Xe544fa8c2b0321a1faaeba129842435bb8e8825"/>
    <w:p>
      <w:pPr>
        <w:pStyle w:val="Heading2"/>
      </w:pPr>
      <w:r>
        <w:t xml:space="preserve">Scientific Reviewer for Peer-Reviewed Journals</w:t>
      </w:r>
    </w:p>
    <w:p>
      <w:pPr>
        <w:pStyle w:val="Compact"/>
        <w:numPr>
          <w:ilvl w:val="0"/>
          <w:numId w:val="1007"/>
        </w:numPr>
      </w:pPr>
      <w:r>
        <w:t xml:space="preserve">The Journal of Allergy and Clinical Immunology: In Practice</w:t>
      </w:r>
    </w:p>
    <w:p>
      <w:pPr>
        <w:pStyle w:val="Compact"/>
        <w:numPr>
          <w:ilvl w:val="0"/>
          <w:numId w:val="1007"/>
        </w:numPr>
      </w:pPr>
      <w:r>
        <w:t xml:space="preserve">JAMA Internal Medicine</w:t>
      </w:r>
    </w:p>
    <w:p>
      <w:pPr>
        <w:pStyle w:val="Compact"/>
        <w:numPr>
          <w:ilvl w:val="0"/>
          <w:numId w:val="1007"/>
        </w:numPr>
      </w:pPr>
      <w:r>
        <w:t xml:space="preserve">British Journal of Dermatology</w:t>
      </w:r>
    </w:p>
    <w:bookmarkEnd w:id="25"/>
    <w:bookmarkStart w:id="26" w:name="special-awards-and-recognition"/>
    <w:p>
      <w:pPr>
        <w:pStyle w:val="Heading2"/>
      </w:pPr>
      <w:r>
        <w:t xml:space="preserve">Special Awards and Recognition</w:t>
      </w:r>
    </w:p>
    <w:p>
      <w:pPr>
        <w:pStyle w:val="Compact"/>
        <w:numPr>
          <w:ilvl w:val="0"/>
          <w:numId w:val="1008"/>
        </w:numPr>
      </w:pPr>
      <w:r>
        <w:t xml:space="preserve">AAAAI Foundation Faculty Development Award (2024)</w:t>
      </w:r>
    </w:p>
    <w:p>
      <w:pPr>
        <w:pStyle w:val="Compact"/>
        <w:numPr>
          <w:ilvl w:val="0"/>
          <w:numId w:val="1008"/>
        </w:numPr>
      </w:pPr>
      <w:r>
        <w:t xml:space="preserve">AAAAI Faculty Development Program Participant (2022)</w:t>
      </w:r>
    </w:p>
    <w:p>
      <w:pPr>
        <w:pStyle w:val="Compact"/>
        <w:numPr>
          <w:ilvl w:val="0"/>
          <w:numId w:val="1008"/>
        </w:numPr>
      </w:pPr>
      <w:r>
        <w:t xml:space="preserve">Sam Marney Award for Excellence in Allergy/Immunology Training (2022)</w:t>
      </w:r>
    </w:p>
    <w:p>
      <w:pPr>
        <w:pStyle w:val="Compact"/>
        <w:numPr>
          <w:ilvl w:val="0"/>
          <w:numId w:val="1008"/>
        </w:numPr>
      </w:pPr>
      <w:r>
        <w:t xml:space="preserve">AAAAI Chrysalis Project Participant (2019)</w:t>
      </w:r>
    </w:p>
    <w:p>
      <w:pPr>
        <w:pStyle w:val="Compact"/>
        <w:numPr>
          <w:ilvl w:val="0"/>
          <w:numId w:val="1008"/>
        </w:numPr>
      </w:pPr>
      <w:r>
        <w:t xml:space="preserve">Alpha Omega Alpha (2015)</w:t>
      </w:r>
    </w:p>
    <w:p>
      <w:pPr>
        <w:pStyle w:val="Compact"/>
        <w:numPr>
          <w:ilvl w:val="0"/>
          <w:numId w:val="1008"/>
        </w:numPr>
      </w:pPr>
      <w:r>
        <w:t xml:space="preserve">Gold Humanism Honor Society (2015)</w:t>
      </w:r>
    </w:p>
    <w:p>
      <w:pPr>
        <w:pStyle w:val="Compact"/>
        <w:numPr>
          <w:ilvl w:val="0"/>
          <w:numId w:val="1008"/>
        </w:numPr>
      </w:pPr>
      <w:r>
        <w:t xml:space="preserve">American College of Medical Genetics Summar Scholar (2013)</w:t>
      </w:r>
    </w:p>
    <w:p>
      <w:pPr>
        <w:pStyle w:val="Compact"/>
        <w:numPr>
          <w:ilvl w:val="0"/>
          <w:numId w:val="1008"/>
        </w:numPr>
      </w:pPr>
      <w:r>
        <w:t xml:space="preserve">Phi Beta Kappa (2011)</w:t>
      </w:r>
    </w:p>
    <w:p>
      <w:pPr>
        <w:pStyle w:val="Compact"/>
        <w:numPr>
          <w:ilvl w:val="0"/>
          <w:numId w:val="1008"/>
        </w:numPr>
      </w:pPr>
      <w:r>
        <w:t xml:space="preserve">Eagle Scout (2008)</w:t>
      </w:r>
    </w:p>
    <w:bookmarkEnd w:id="26"/>
    <w:bookmarkEnd w:id="27"/>
    <w:bookmarkStart w:id="29" w:name="teaching-activities"/>
    <w:p>
      <w:pPr>
        <w:pStyle w:val="Heading1"/>
      </w:pPr>
      <w:r>
        <w:t xml:space="preserve">Teaching Activities</w:t>
      </w:r>
    </w:p>
    <w:bookmarkStart w:id="28" w:name="clinical-teaching"/>
    <w:p>
      <w:pPr>
        <w:pStyle w:val="Heading2"/>
      </w:pPr>
      <w:r>
        <w:t xml:space="preserve">Clinical Teaching</w:t>
      </w:r>
    </w:p>
    <w:p>
      <w:pPr>
        <w:pStyle w:val="Compact"/>
        <w:numPr>
          <w:ilvl w:val="0"/>
          <w:numId w:val="1009"/>
        </w:numPr>
      </w:pPr>
      <w:r>
        <w:t xml:space="preserve">Internal Medicine Clerkship Clinic Preceptor. Vanderbilt University School of Medicine (2024-Present)</w:t>
      </w:r>
    </w:p>
    <w:p>
      <w:pPr>
        <w:pStyle w:val="Compact"/>
        <w:numPr>
          <w:ilvl w:val="0"/>
          <w:numId w:val="1009"/>
        </w:numPr>
      </w:pPr>
      <w:r>
        <w:t xml:space="preserve">Allergy/Immunology Fellowship Clinic Preceptor. Vanderbilt University Medical Center (2024-Present)</w:t>
      </w:r>
    </w:p>
    <w:bookmarkEnd w:id="28"/>
    <w:bookmarkEnd w:id="29"/>
    <w:bookmarkStart w:id="32" w:name="research-supervision"/>
    <w:p>
      <w:pPr>
        <w:pStyle w:val="Heading1"/>
      </w:pPr>
      <w:r>
        <w:t xml:space="preserve">Research Supervision</w:t>
      </w:r>
    </w:p>
    <w:bookmarkStart w:id="30" w:name="phd-students"/>
    <w:p>
      <w:pPr>
        <w:pStyle w:val="Heading2"/>
      </w:pPr>
      <w:r>
        <w:t xml:space="preserve">PhD Students</w:t>
      </w:r>
    </w:p>
    <w:p>
      <w:pPr>
        <w:pStyle w:val="Compact"/>
        <w:numPr>
          <w:ilvl w:val="0"/>
          <w:numId w:val="1010"/>
        </w:numPr>
      </w:pPr>
      <w:r>
        <w:t xml:space="preserve">Chelsea Campbell. Vanderbilt University (2024-Present)</w:t>
      </w:r>
    </w:p>
    <w:bookmarkEnd w:id="30"/>
    <w:bookmarkStart w:id="31" w:name="clinical-fellows"/>
    <w:p>
      <w:pPr>
        <w:pStyle w:val="Heading2"/>
      </w:pPr>
      <w:r>
        <w:t xml:space="preserve">Clinical Fellows</w:t>
      </w:r>
    </w:p>
    <w:p>
      <w:pPr>
        <w:pStyle w:val="Compact"/>
        <w:numPr>
          <w:ilvl w:val="0"/>
          <w:numId w:val="1011"/>
        </w:numPr>
      </w:pPr>
      <w:r>
        <w:t xml:space="preserve">Alex Emerson. Vanderbilt University Medical Center (2024-2025)</w:t>
      </w:r>
    </w:p>
    <w:p>
      <w:pPr>
        <w:pStyle w:val="Compact"/>
        <w:numPr>
          <w:ilvl w:val="0"/>
          <w:numId w:val="1011"/>
        </w:numPr>
      </w:pPr>
      <w:r>
        <w:t xml:space="preserve">Jordon Jaggers. Vanderbilt University Medical Center (2024-2025)</w:t>
      </w:r>
    </w:p>
    <w:p>
      <w:pPr>
        <w:pStyle w:val="Compact"/>
        <w:numPr>
          <w:ilvl w:val="0"/>
          <w:numId w:val="1011"/>
        </w:numPr>
      </w:pPr>
      <w:r>
        <w:t xml:space="preserve">Peyton Bennett. Vanderbilt University Medical Center (2024-Present)</w:t>
      </w:r>
    </w:p>
    <w:bookmarkEnd w:id="31"/>
    <w:bookmarkEnd w:id="32"/>
    <w:bookmarkStart w:id="38" w:name="research-program"/>
    <w:p>
      <w:pPr>
        <w:pStyle w:val="Heading1"/>
      </w:pPr>
      <w:r>
        <w:t xml:space="preserve">Research Program</w:t>
      </w:r>
    </w:p>
    <w:bookmarkStart w:id="35" w:name="current-grants-principal-investigator"/>
    <w:p>
      <w:pPr>
        <w:pStyle w:val="Heading2"/>
      </w:pPr>
      <w:r>
        <w:t xml:space="preserve">Current Grants — Principal Investigator</w:t>
      </w:r>
    </w:p>
    <w:p>
      <w:pPr>
        <w:pStyle w:val="Compact"/>
        <w:numPr>
          <w:ilvl w:val="0"/>
          <w:numId w:val="1012"/>
        </w:numPr>
      </w:pPr>
      <w:r>
        <w:t xml:space="preserve">NIH K08 AI185260.</w:t>
      </w:r>
      <w:r>
        <w:t xml:space="preserve"> </w:t>
      </w:r>
      <w:r>
        <w:t xml:space="preserve">“</w:t>
      </w:r>
      <w:hyperlink r:id="rId33">
        <w:r>
          <w:rPr>
            <w:rStyle w:val="Hyperlink"/>
          </w:rPr>
          <w:t xml:space="preserve">A Translational Bioinformatics Approach for Phenotyping and Genetic Risk of Severe Cutaneous Adverse Drug Reactions</w:t>
        </w:r>
      </w:hyperlink>
      <w:r>
        <w:t xml:space="preserve">”</w:t>
      </w:r>
      <w:r>
        <w:t xml:space="preserve">. Source of Support: NIAID. PI: Matthew S. Krantz, MD. Total Award Amount: $932,536 . Project Start and End Date: 01/15/25 - 12/31/29</w:t>
      </w:r>
    </w:p>
    <w:p>
      <w:pPr>
        <w:pStyle w:val="Compact"/>
        <w:numPr>
          <w:ilvl w:val="0"/>
          <w:numId w:val="1012"/>
        </w:numPr>
      </w:pPr>
      <w:r>
        <w:t xml:space="preserve">AAAAI Foundation Faculty Development Award.</w:t>
      </w:r>
      <w:r>
        <w:t xml:space="preserve"> </w:t>
      </w:r>
      <w:r>
        <w:t xml:space="preserve">“</w:t>
      </w:r>
      <w:hyperlink r:id="rId34">
        <w:r>
          <w:rPr>
            <w:rStyle w:val="Hyperlink"/>
          </w:rPr>
          <w:t xml:space="preserve">A Translational Bioinformatics Approach for Deep Phenotyping and Genetic Risk of Severe Cutaneous Adverse Drug Reactions</w:t>
        </w:r>
      </w:hyperlink>
      <w:r>
        <w:t xml:space="preserve">”</w:t>
      </w:r>
      <w:r>
        <w:t xml:space="preserve">. Source of Support: American Academy of Allergy, Asthma &amp; Immunology. PI: Matthew S. Krantz, MD. Total Award Amount: $300,000 . Project Start and End Date: 07/01/24 - 06/30/27</w:t>
      </w:r>
    </w:p>
    <w:bookmarkEnd w:id="35"/>
    <w:bookmarkStart w:id="37" w:name="pending-co-investigator"/>
    <w:p>
      <w:pPr>
        <w:pStyle w:val="Heading2"/>
      </w:pPr>
      <w:r>
        <w:t xml:space="preserve">Pending — Co-Investigator</w:t>
      </w:r>
    </w:p>
    <w:p>
      <w:pPr>
        <w:pStyle w:val="Compact"/>
        <w:numPr>
          <w:ilvl w:val="0"/>
          <w:numId w:val="1013"/>
        </w:numPr>
      </w:pPr>
      <w:r>
        <w:t xml:space="preserve">NIH UG3 AI190386.</w:t>
      </w:r>
      <w:r>
        <w:t xml:space="preserve"> </w:t>
      </w:r>
      <w:r>
        <w:t xml:space="preserve">“</w:t>
      </w:r>
      <w:hyperlink r:id="rId36">
        <w:r>
          <w:rPr>
            <w:rStyle w:val="Hyperlink"/>
          </w:rPr>
          <w:t xml:space="preserve">Mechanisms of Immediate Non-IgE-mediated Drug Hypersensitivity Reactions (MIND-HR)</w:t>
        </w:r>
      </w:hyperlink>
      <w:r>
        <w:t xml:space="preserve">”</w:t>
      </w:r>
      <w:r>
        <w:t xml:space="preserve">. Source of Support: NIAID. PI: Santiago Alvarez Arango, MD, PhD. Total Award Amount: . Project Start and End Date: NA - NA</w:t>
      </w:r>
    </w:p>
    <w:bookmarkEnd w:id="37"/>
    <w:bookmarkEnd w:id="38"/>
    <w:bookmarkStart w:id="99" w:name="publications-and-presentations"/>
    <w:p>
      <w:pPr>
        <w:pStyle w:val="Heading1"/>
      </w:pPr>
      <w:r>
        <w:t xml:space="preserve">Publications and Presentations</w:t>
      </w:r>
    </w:p>
    <w:bookmarkStart w:id="86" w:name="articles-in-peer-reviewed-journals"/>
    <w:p>
      <w:pPr>
        <w:pStyle w:val="Heading2"/>
      </w:pPr>
      <w:r>
        <w:t xml:space="preserve">Articles in Peer-Reviewed Journals</w:t>
      </w:r>
    </w:p>
    <w:bookmarkStart w:id="67" w:name="original-research"/>
    <w:p>
      <w:pPr>
        <w:pStyle w:val="Heading3"/>
      </w:pPr>
      <w:r>
        <w:t xml:space="preserve">Original Research</w:t>
      </w:r>
    </w:p>
    <w:p>
      <w:pPr>
        <w:pStyle w:val="Compact"/>
        <w:numPr>
          <w:ilvl w:val="0"/>
          <w:numId w:val="1014"/>
        </w:numPr>
      </w:pPr>
      <w:r>
        <w:t xml:space="preserve">Bejan CA, Wang M, Venkateswaran S, Bergmann EA, Hiles L, Xu Y, Chandler GS, Brondfield S, Silverstein J, Wright F, de Dios K, Kim DM, Mukherjee E,</w:t>
      </w:r>
      <w:r>
        <w:t xml:space="preserve"> </w:t>
      </w:r>
      <w:r>
        <w:rPr>
          <w:b/>
          <w:bCs/>
        </w:rPr>
        <w:t xml:space="preserve">Krantz MS</w:t>
      </w:r>
      <w:r>
        <w:t xml:space="preserve">, Yao L, Johnson DB, Phillips EJ, Balko JM, Mohindra R, Quandt Z. irAE-GPT: leveraging large language models to identify immune-related adverse events in electronic health records and clinical trial datasets.</w:t>
      </w:r>
      <w:r>
        <w:t xml:space="preserve"> </w:t>
      </w:r>
      <w:r>
        <w:rPr>
          <w:i/>
          <w:iCs/>
        </w:rPr>
        <w:t xml:space="preserve">EBioMedicine</w:t>
      </w:r>
      <w:r>
        <w:t xml:space="preserve">. 2026 May;127:106227. DOI:</w:t>
      </w:r>
      <w:r>
        <w:t xml:space="preserve"> </w:t>
      </w:r>
      <w:hyperlink r:id="rId39">
        <w:r>
          <w:rPr>
            <w:rStyle w:val="Hyperlink"/>
          </w:rPr>
          <w:t xml:space="preserve">10.1016/j.ebiom.2026.106227</w:t>
        </w:r>
      </w:hyperlink>
      <w:r>
        <w:t xml:space="preserve">. PMID: 41951517. PMCID: PMC13174231.</w:t>
      </w:r>
    </w:p>
    <w:p>
      <w:pPr>
        <w:pStyle w:val="Compact"/>
        <w:numPr>
          <w:ilvl w:val="0"/>
          <w:numId w:val="1014"/>
        </w:numPr>
      </w:pPr>
      <w:r>
        <w:t xml:space="preserve">Mukherjee EM, Park D, Asiaee A,</w:t>
      </w:r>
      <w:r>
        <w:t xml:space="preserve"> </w:t>
      </w:r>
      <w:r>
        <w:rPr>
          <w:b/>
          <w:bCs/>
        </w:rPr>
        <w:t xml:space="preserve">Krantz MS</w:t>
      </w:r>
      <w:r>
        <w:t xml:space="preserve">, Stone CA Jr, Martin-Pozo M, Phillips E. Immune Checkpoint Inhibitors as Independent and Synergistic Drivers of SJS/TEN.</w:t>
      </w:r>
      <w:r>
        <w:t xml:space="preserve"> </w:t>
      </w:r>
      <w:r>
        <w:rPr>
          <w:i/>
          <w:iCs/>
        </w:rPr>
        <w:t xml:space="preserve">JAMA Oncol</w:t>
      </w:r>
      <w:r>
        <w:t xml:space="preserve">. 2025 Oct;11(12):1542-1545. DOI:</w:t>
      </w:r>
      <w:r>
        <w:t xml:space="preserve"> </w:t>
      </w:r>
      <w:hyperlink r:id="rId40">
        <w:r>
          <w:rPr>
            <w:rStyle w:val="Hyperlink"/>
          </w:rPr>
          <w:t xml:space="preserve">10.1001/jamaoncol.2025.4349</w:t>
        </w:r>
      </w:hyperlink>
      <w:r>
        <w:t xml:space="preserve">. PMID: 41165703.</w:t>
      </w:r>
      <w:r>
        <w:br/>
      </w:r>
    </w:p>
    <w:p>
      <w:pPr>
        <w:pStyle w:val="Compact"/>
        <w:numPr>
          <w:ilvl w:val="0"/>
          <w:numId w:val="1014"/>
        </w:numPr>
      </w:pPr>
      <w:r>
        <w:t xml:space="preserve">Campbell CN,</w:t>
      </w:r>
      <w:r>
        <w:t xml:space="preserve"> </w:t>
      </w:r>
      <w:r>
        <w:rPr>
          <w:b/>
          <w:bCs/>
        </w:rPr>
        <w:t xml:space="preserve">Krantz MS</w:t>
      </w:r>
      <w:r>
        <w:t xml:space="preserve">, Yu A, Phillips EJ; Stevens-Johnson Syndrome/Toxic Epidermal Necrolysis (SJS/TEN) Survivor Study Collaborators. HLA-B*58:01 and Risk of Allopurinol-Induced Severe Cutaneous Adverse Reactions in the US.</w:t>
      </w:r>
      <w:r>
        <w:t xml:space="preserve"> </w:t>
      </w:r>
      <w:r>
        <w:rPr>
          <w:i/>
          <w:iCs/>
        </w:rPr>
        <w:t xml:space="preserve">JAMA Dermatol</w:t>
      </w:r>
      <w:r>
        <w:t xml:space="preserve">. 2025 Oct;e254240. DOI:</w:t>
      </w:r>
      <w:r>
        <w:t xml:space="preserve"> </w:t>
      </w:r>
      <w:hyperlink r:id="rId41">
        <w:r>
          <w:rPr>
            <w:rStyle w:val="Hyperlink"/>
          </w:rPr>
          <w:t xml:space="preserve">10.1001/jamadermatol.2025.4240</w:t>
        </w:r>
      </w:hyperlink>
      <w:r>
        <w:t xml:space="preserve">. PMID: 41160012. PMCID: PMC12573116.</w:t>
      </w:r>
    </w:p>
    <w:p>
      <w:pPr>
        <w:pStyle w:val="Compact"/>
        <w:numPr>
          <w:ilvl w:val="0"/>
          <w:numId w:val="1014"/>
        </w:numPr>
      </w:pPr>
      <w:r>
        <w:t xml:space="preserve">Lee R, Koo G,</w:t>
      </w:r>
      <w:r>
        <w:t xml:space="preserve"> </w:t>
      </w:r>
      <w:r>
        <w:rPr>
          <w:b/>
          <w:bCs/>
        </w:rPr>
        <w:t xml:space="preserve">Krantz MS</w:t>
      </w:r>
      <w:r>
        <w:t xml:space="preserve">, Allocco C, Phillips EJ, Stone CA Jr. Delabeling Antibiotic Allergy in the Solid Organ Transplant Population Using a Multiple Antibiotic Allergy Evaluation Strategy.</w:t>
      </w:r>
      <w:r>
        <w:t xml:space="preserve"> </w:t>
      </w:r>
      <w:r>
        <w:rPr>
          <w:i/>
          <w:iCs/>
        </w:rPr>
        <w:t xml:space="preserve">Transpl Infect Dis</w:t>
      </w:r>
      <w:r>
        <w:t xml:space="preserve">. 2025 Sep;e70099. DOI:</w:t>
      </w:r>
      <w:r>
        <w:t xml:space="preserve"> </w:t>
      </w:r>
      <w:hyperlink r:id="rId42">
        <w:r>
          <w:rPr>
            <w:rStyle w:val="Hyperlink"/>
          </w:rPr>
          <w:t xml:space="preserve">10.1111/tid.70099</w:t>
        </w:r>
      </w:hyperlink>
      <w:r>
        <w:t xml:space="preserve">. PMID: 40932456. PMCID: PMC12519911.</w:t>
      </w:r>
    </w:p>
    <w:p>
      <w:pPr>
        <w:pStyle w:val="Compact"/>
        <w:numPr>
          <w:ilvl w:val="0"/>
          <w:numId w:val="1014"/>
        </w:numPr>
      </w:pPr>
      <w:r>
        <w:t xml:space="preserve">Li Y, Gibson A, Saeed HN, Ashraf M, Li D, Ostrov DA,</w:t>
      </w:r>
      <w:r>
        <w:t xml:space="preserve"> </w:t>
      </w:r>
      <w:r>
        <w:rPr>
          <w:b/>
          <w:bCs/>
        </w:rPr>
        <w:t xml:space="preserve">Krantz MS</w:t>
      </w:r>
      <w:r>
        <w:t xml:space="preserve">, Mallal SA, Alves E, Chopra A, Choo L, Dodiuk-Gad RP, Kaffenberger B, Drucker AM, Goh MS, Ergen E, Micheletti R, Rosenbach M, Martin-Pozo MD, Gangula R, Williams EA, Yu A, O’Connor A, Mahan K, Kwan JT, Metcalfe D, Rashad R, Shanbhag SS, Tahboub MA, Pedretti S, Choshi P, Chimbetete T, Selim R, James I, Trubiano JA, Lehloenya R, Peter JG, Phillips EJ; SJS Survivor Study. HLA-B Alleles With Shared Peptide Binding Specificities Define Global Risk of Co-trimoxazole-Induced Severe Cutaneous Adverse Drug Reactions.</w:t>
      </w:r>
      <w:r>
        <w:t xml:space="preserve"> </w:t>
      </w:r>
      <w:r>
        <w:rPr>
          <w:i/>
          <w:iCs/>
        </w:rPr>
        <w:t xml:space="preserve">J Allergy Clin Immunol Pract</w:t>
      </w:r>
      <w:r>
        <w:t xml:space="preserve">. 2025 Aug;S2213-2198(25)00762-7. DOI:</w:t>
      </w:r>
      <w:r>
        <w:t xml:space="preserve"> </w:t>
      </w:r>
      <w:hyperlink r:id="rId43">
        <w:r>
          <w:rPr>
            <w:rStyle w:val="Hyperlink"/>
          </w:rPr>
          <w:t xml:space="preserve">10.1016/j.jaip.2025.08.001</w:t>
        </w:r>
      </w:hyperlink>
      <w:r>
        <w:t xml:space="preserve">. PMID: 40784610. PMCID: PMC12541198.</w:t>
      </w:r>
    </w:p>
    <w:p>
      <w:pPr>
        <w:pStyle w:val="Compact"/>
        <w:numPr>
          <w:ilvl w:val="0"/>
          <w:numId w:val="1014"/>
        </w:numPr>
      </w:pPr>
      <w:r>
        <w:t xml:space="preserve">Emerson AG,</w:t>
      </w:r>
      <w:r>
        <w:t xml:space="preserve"> </w:t>
      </w:r>
      <w:r>
        <w:rPr>
          <w:b/>
          <w:bCs/>
        </w:rPr>
        <w:t xml:space="preserve">Krantz MS</w:t>
      </w:r>
      <w:r>
        <w:t xml:space="preserve">, Robison RG. Food allergy clinical course in children and adolescents treated with dupilumab for atopic dermatitis.</w:t>
      </w:r>
      <w:r>
        <w:t xml:space="preserve"> </w:t>
      </w:r>
      <w:r>
        <w:rPr>
          <w:i/>
          <w:iCs/>
        </w:rPr>
        <w:t xml:space="preserve">Ann Allergy Asthma Immunol</w:t>
      </w:r>
      <w:r>
        <w:t xml:space="preserve">. 2025 Jul;S1081-1206(25)00378-3. DOI:</w:t>
      </w:r>
      <w:r>
        <w:t xml:space="preserve"> </w:t>
      </w:r>
      <w:hyperlink r:id="rId44">
        <w:r>
          <w:rPr>
            <w:rStyle w:val="Hyperlink"/>
          </w:rPr>
          <w:t xml:space="preserve">10.1016/j.anai.2025.07.023</w:t>
        </w:r>
      </w:hyperlink>
      <w:r>
        <w:t xml:space="preserve">. PMID: 40730273.</w:t>
      </w:r>
      <w:r>
        <w:br/>
      </w:r>
    </w:p>
    <w:p>
      <w:pPr>
        <w:pStyle w:val="Compact"/>
        <w:numPr>
          <w:ilvl w:val="0"/>
          <w:numId w:val="1014"/>
        </w:numPr>
      </w:pPr>
      <w:r>
        <w:t xml:space="preserve">Jaggers J, Stone C Jr,</w:t>
      </w:r>
      <w:r>
        <w:t xml:space="preserve"> </w:t>
      </w:r>
      <w:r>
        <w:rPr>
          <w:b/>
          <w:bCs/>
        </w:rPr>
        <w:t xml:space="preserve">Krantz MS</w:t>
      </w:r>
      <w:r>
        <w:t xml:space="preserve">, Phillips E. Intravenous iron reactions: Insights from an allergy and immunology perspective. _ Allergy Clin Immunol Glob_. 2025 Nov;4(4):100543. DOI:</w:t>
      </w:r>
      <w:r>
        <w:t xml:space="preserve"> </w:t>
      </w:r>
      <w:hyperlink r:id="rId45">
        <w:r>
          <w:rPr>
            <w:rStyle w:val="Hyperlink"/>
          </w:rPr>
          <w:t xml:space="preserve">10.1016/j.jacig.2025.100543</w:t>
        </w:r>
      </w:hyperlink>
      <w:r>
        <w:t xml:space="preserve">. PMID: 40832364. PMCID: PMC12359208.</w:t>
      </w:r>
    </w:p>
    <w:p>
      <w:pPr>
        <w:pStyle w:val="Compact"/>
        <w:numPr>
          <w:ilvl w:val="0"/>
          <w:numId w:val="1014"/>
        </w:numPr>
      </w:pPr>
      <w:r>
        <w:t xml:space="preserve">Moraczewski J, Lee R, Koo G,</w:t>
      </w:r>
      <w:r>
        <w:t xml:space="preserve"> </w:t>
      </w:r>
      <w:r>
        <w:rPr>
          <w:b/>
          <w:bCs/>
        </w:rPr>
        <w:t xml:space="preserve">Krantz MS</w:t>
      </w:r>
      <w:r>
        <w:t xml:space="preserve">, Allocco C, Phillips EJ, Stone CA Jr. Direct Oral Challenges Safely Reduce the Burden of Low-Risk Cephalosporin Allergy Labels.</w:t>
      </w:r>
      <w:r>
        <w:t xml:space="preserve"> </w:t>
      </w:r>
      <w:r>
        <w:rPr>
          <w:i/>
          <w:iCs/>
        </w:rPr>
        <w:t xml:space="preserve">J Allergy Clin Immunol Pract</w:t>
      </w:r>
      <w:r>
        <w:t xml:space="preserve">. 2025 Jun;S2213-2198(25)00531-8. DOI:</w:t>
      </w:r>
      <w:r>
        <w:t xml:space="preserve"> </w:t>
      </w:r>
      <w:hyperlink r:id="rId46">
        <w:r>
          <w:rPr>
            <w:rStyle w:val="Hyperlink"/>
          </w:rPr>
          <w:t xml:space="preserve">10.1016/j.jaip.2025.05.054</w:t>
        </w:r>
      </w:hyperlink>
      <w:r>
        <w:t xml:space="preserve">. PMID: 40484351.</w:t>
      </w:r>
      <w:r>
        <w:br/>
      </w:r>
    </w:p>
    <w:p>
      <w:pPr>
        <w:pStyle w:val="Compact"/>
        <w:numPr>
          <w:ilvl w:val="0"/>
          <w:numId w:val="1014"/>
        </w:numPr>
      </w:pPr>
      <w:r>
        <w:t xml:space="preserve">Gardner J, Martinez-Rivera S, Line J, Thomson P, Clarke E, Gibson A,</w:t>
      </w:r>
      <w:r>
        <w:t xml:space="preserve"> </w:t>
      </w:r>
      <w:r>
        <w:rPr>
          <w:b/>
          <w:bCs/>
        </w:rPr>
        <w:t xml:space="preserve">Krantz MS</w:t>
      </w:r>
      <w:r>
        <w:t xml:space="preserve">, Ardern-Jones M, Phillips EJ, Naisbitt DJ. Elucidating CD4+ and CD8+ T-cell involvement in patients with vancomycin-induced DRESS.</w:t>
      </w:r>
      <w:r>
        <w:t xml:space="preserve"> </w:t>
      </w:r>
      <w:r>
        <w:rPr>
          <w:i/>
          <w:iCs/>
        </w:rPr>
        <w:t xml:space="preserve">Toxicol Sci</w:t>
      </w:r>
      <w:r>
        <w:t xml:space="preserve">. 2025 May;27:kfaf074. DOI:</w:t>
      </w:r>
      <w:r>
        <w:t xml:space="preserve"> </w:t>
      </w:r>
      <w:hyperlink r:id="rId47">
        <w:r>
          <w:rPr>
            <w:rStyle w:val="Hyperlink"/>
          </w:rPr>
          <w:t xml:space="preserve">10.1093/toxsci/kfaf074</w:t>
        </w:r>
      </w:hyperlink>
      <w:r>
        <w:t xml:space="preserve">. PMID: 40424455.</w:t>
      </w:r>
      <w:r>
        <w:br/>
      </w:r>
    </w:p>
    <w:p>
      <w:pPr>
        <w:pStyle w:val="Compact"/>
        <w:numPr>
          <w:ilvl w:val="0"/>
          <w:numId w:val="1014"/>
        </w:numPr>
      </w:pPr>
      <w:r>
        <w:rPr>
          <w:b/>
          <w:bCs/>
        </w:rPr>
        <w:t xml:space="preserve">Krantz MS</w:t>
      </w:r>
      <w:r>
        <w:t xml:space="preserve">, Lemoine C, Zhou L, King AJ, Kroshinsky D, Phillips EJ, Blumenthal KG. Specific clinical features define HLA-A∗32:01-positive vancomycin drug reaction with eosinophilia and systemic symptoms: A multi-institution cross-sectional study.</w:t>
      </w:r>
      <w:r>
        <w:t xml:space="preserve"> </w:t>
      </w:r>
      <w:r>
        <w:rPr>
          <w:i/>
          <w:iCs/>
        </w:rPr>
        <w:t xml:space="preserve">J Allergy Clin Immunol Pract</w:t>
      </w:r>
      <w:r>
        <w:t xml:space="preserve">. 2025 May;S2213-2198(25)00492-1. DOI:</w:t>
      </w:r>
      <w:r>
        <w:t xml:space="preserve"> </w:t>
      </w:r>
      <w:hyperlink r:id="rId48">
        <w:r>
          <w:rPr>
            <w:rStyle w:val="Hyperlink"/>
          </w:rPr>
          <w:t xml:space="preserve">10.1016/j.jaip.2025.05.027</w:t>
        </w:r>
      </w:hyperlink>
      <w:r>
        <w:t xml:space="preserve">. PMID: 40412613.</w:t>
      </w:r>
      <w:r>
        <w:br/>
      </w:r>
    </w:p>
    <w:p>
      <w:pPr>
        <w:pStyle w:val="Compact"/>
        <w:numPr>
          <w:ilvl w:val="0"/>
          <w:numId w:val="1014"/>
        </w:numPr>
      </w:pPr>
      <w:r>
        <w:t xml:space="preserve">Xin Y, Grabowska ME, Gangireddy S,</w:t>
      </w:r>
      <w:r>
        <w:t xml:space="preserve"> </w:t>
      </w:r>
      <w:r>
        <w:rPr>
          <w:b/>
          <w:bCs/>
        </w:rPr>
        <w:t xml:space="preserve">Krantz MS</w:t>
      </w:r>
      <w:r>
        <w:t xml:space="preserve">, Kerchberger EV, Dickson A, Feng Q, Zhijun Y, Wei WQ. Improving topic modeling performance on social media through semantic relationships within biomedical terminology.</w:t>
      </w:r>
      <w:r>
        <w:t xml:space="preserve"> </w:t>
      </w:r>
      <w:r>
        <w:rPr>
          <w:i/>
          <w:iCs/>
        </w:rPr>
        <w:t xml:space="preserve">PLoS One</w:t>
      </w:r>
      <w:r>
        <w:t xml:space="preserve">. 2025 Feb;20(2):e0318702. DOI:</w:t>
      </w:r>
      <w:r>
        <w:t xml:space="preserve"> </w:t>
      </w:r>
      <w:hyperlink r:id="rId49">
        <w:r>
          <w:rPr>
            <w:rStyle w:val="Hyperlink"/>
          </w:rPr>
          <w:t xml:space="preserve">10.1371/journal.pone.0318702</w:t>
        </w:r>
      </w:hyperlink>
      <w:r>
        <w:t xml:space="preserve">. PMID: 39982945. PMCID: PMC11845042.</w:t>
      </w:r>
    </w:p>
    <w:p>
      <w:pPr>
        <w:pStyle w:val="Compact"/>
        <w:numPr>
          <w:ilvl w:val="0"/>
          <w:numId w:val="1014"/>
        </w:numPr>
      </w:pPr>
      <w:r>
        <w:t xml:space="preserve">Mukherjee EM, Gibson A,</w:t>
      </w:r>
      <w:r>
        <w:t xml:space="preserve"> </w:t>
      </w:r>
      <w:r>
        <w:rPr>
          <w:b/>
          <w:bCs/>
        </w:rPr>
        <w:t xml:space="preserve">Krantz MS</w:t>
      </w:r>
      <w:r>
        <w:t xml:space="preserve">, Gangula R, Palubinsky AM, Boyd AS, Zwerner JP, Dewan AK, Nakkam N, Konvinse KC, Li Y, Ram R, Chopra A, Phillips EJ. Single-cell immunopathology of recurrent acute generalized exanthematous pustulosis associated with vancomycin.</w:t>
      </w:r>
      <w:r>
        <w:t xml:space="preserve"> </w:t>
      </w:r>
      <w:r>
        <w:rPr>
          <w:i/>
          <w:iCs/>
        </w:rPr>
        <w:t xml:space="preserve">J Allergy Clin Immunol Glob</w:t>
      </w:r>
      <w:r>
        <w:t xml:space="preserve">. 2025 Jan;4(2):100426. DOI:</w:t>
      </w:r>
      <w:r>
        <w:t xml:space="preserve"> </w:t>
      </w:r>
      <w:hyperlink r:id="rId50">
        <w:r>
          <w:rPr>
            <w:rStyle w:val="Hyperlink"/>
          </w:rPr>
          <w:t xml:space="preserve">10.1016/j.jacig.2025.100426</w:t>
        </w:r>
      </w:hyperlink>
      <w:r>
        <w:t xml:space="preserve">. PMID: 40008097. PMCID: PMC11851205.</w:t>
      </w:r>
    </w:p>
    <w:p>
      <w:pPr>
        <w:pStyle w:val="Compact"/>
        <w:numPr>
          <w:ilvl w:val="0"/>
          <w:numId w:val="1014"/>
        </w:numPr>
      </w:pPr>
      <w:r>
        <w:t xml:space="preserve">Yan C, Ong HH, Grabowska ME,</w:t>
      </w:r>
      <w:r>
        <w:t xml:space="preserve"> </w:t>
      </w:r>
      <w:r>
        <w:rPr>
          <w:b/>
          <w:bCs/>
        </w:rPr>
        <w:t xml:space="preserve">Krantz MS</w:t>
      </w:r>
      <w:r>
        <w:t xml:space="preserve">, Su WC, Dickson AL, Peterson JF, Feng Q, Roden DM, Stein CM, Kerchberger VE, Malin BA, Wei WQ. Large language models facilitate the generation of electronic health record phenotyping algorithms.</w:t>
      </w:r>
      <w:r>
        <w:t xml:space="preserve"> </w:t>
      </w:r>
      <w:r>
        <w:rPr>
          <w:i/>
          <w:iCs/>
        </w:rPr>
        <w:t xml:space="preserve">J Am Med Inform Assoc</w:t>
      </w:r>
      <w:r>
        <w:t xml:space="preserve">. 2024 Sep;31(9):1994-2001. DOI:</w:t>
      </w:r>
      <w:r>
        <w:t xml:space="preserve"> </w:t>
      </w:r>
      <w:hyperlink r:id="rId51">
        <w:r>
          <w:rPr>
            <w:rStyle w:val="Hyperlink"/>
          </w:rPr>
          <w:t xml:space="preserve">10.1093/jamia/ocae072</w:t>
        </w:r>
      </w:hyperlink>
      <w:r>
        <w:t xml:space="preserve">. PMID: 38613820. PMCID: PMC11339509.</w:t>
      </w:r>
    </w:p>
    <w:p>
      <w:pPr>
        <w:pStyle w:val="Compact"/>
        <w:numPr>
          <w:ilvl w:val="0"/>
          <w:numId w:val="1014"/>
        </w:numPr>
      </w:pPr>
      <w:r>
        <w:t xml:space="preserve">Gardner J, Hammond S, Jensen R, Gibson A,</w:t>
      </w:r>
      <w:r>
        <w:t xml:space="preserve"> </w:t>
      </w:r>
      <w:r>
        <w:rPr>
          <w:b/>
          <w:bCs/>
        </w:rPr>
        <w:t xml:space="preserve">Krantz MS</w:t>
      </w:r>
      <w:r>
        <w:t xml:space="preserve">, Ardern-Jones M, Phillips EJ, Pirmohamed M, Chadwick AE, Betts C, Naisbitt DJ. Glycolysis: An early marker for vancomycin-specific T-cell activation.</w:t>
      </w:r>
      <w:r>
        <w:t xml:space="preserve"> </w:t>
      </w:r>
      <w:r>
        <w:rPr>
          <w:i/>
          <w:iCs/>
        </w:rPr>
        <w:t xml:space="preserve">Clin Exp Allergy</w:t>
      </w:r>
      <w:r>
        <w:t xml:space="preserve">. 2024 Jan;54(1):21-33. DOI:</w:t>
      </w:r>
      <w:r>
        <w:t xml:space="preserve"> </w:t>
      </w:r>
      <w:hyperlink r:id="rId52">
        <w:r>
          <w:rPr>
            <w:rStyle w:val="Hyperlink"/>
          </w:rPr>
          <w:t xml:space="preserve">10.1111/cea.14423</w:t>
        </w:r>
      </w:hyperlink>
      <w:r>
        <w:t xml:space="preserve">. PMID: 38177093. PMCID: PMC10953384.</w:t>
      </w:r>
    </w:p>
    <w:p>
      <w:pPr>
        <w:pStyle w:val="Compact"/>
        <w:numPr>
          <w:ilvl w:val="0"/>
          <w:numId w:val="1014"/>
        </w:numPr>
      </w:pPr>
      <w:r>
        <w:t xml:space="preserve">Waldron JL, Rose M, Vogrin S,</w:t>
      </w:r>
      <w:r>
        <w:t xml:space="preserve"> </w:t>
      </w:r>
      <w:r>
        <w:rPr>
          <w:b/>
          <w:bCs/>
        </w:rPr>
        <w:t xml:space="preserve">Krantz MS</w:t>
      </w:r>
      <w:r>
        <w:t xml:space="preserve">, Bolotte R, Phillips EJ, Trubiano JA. Development and Validation of a Sulfa Antibiotic Allergy Clinical Decision Rule.</w:t>
      </w:r>
      <w:r>
        <w:t xml:space="preserve"> </w:t>
      </w:r>
      <w:r>
        <w:rPr>
          <w:i/>
          <w:iCs/>
        </w:rPr>
        <w:t xml:space="preserve">JAMA Netw Open</w:t>
      </w:r>
      <w:r>
        <w:t xml:space="preserve">. 2023 Jun;6(6):e2316776. DOI:</w:t>
      </w:r>
      <w:r>
        <w:t xml:space="preserve"> </w:t>
      </w:r>
      <w:hyperlink r:id="rId53">
        <w:r>
          <w:rPr>
            <w:rStyle w:val="Hyperlink"/>
          </w:rPr>
          <w:t xml:space="preserve">10.1001/jamanetworkopen.2023.16776</w:t>
        </w:r>
      </w:hyperlink>
      <w:r>
        <w:t xml:space="preserve">. PMID: 37273210. PMCID: PMC10242418.</w:t>
      </w:r>
    </w:p>
    <w:p>
      <w:pPr>
        <w:pStyle w:val="Compact"/>
        <w:numPr>
          <w:ilvl w:val="0"/>
          <w:numId w:val="1014"/>
        </w:numPr>
      </w:pPr>
      <w:r>
        <w:t xml:space="preserve">Greenhawt M, Shaker M, Golden DBK, Abrams EM, Blumenthal KG, Wolfson AR, Stone CA Jr,</w:t>
      </w:r>
      <w:r>
        <w:t xml:space="preserve"> </w:t>
      </w:r>
      <w:r>
        <w:rPr>
          <w:b/>
          <w:bCs/>
        </w:rPr>
        <w:t xml:space="preserve">Krantz MS</w:t>
      </w:r>
      <w:r>
        <w:t xml:space="preserve">, Chu DK, Dwamena BA. Diagnostic accuracy of vaccine and vaccine excipient testing in the setting of allergic reactions to COVID-19 vaccines: A systematic review and meta- analysis.</w:t>
      </w:r>
      <w:r>
        <w:t xml:space="preserve"> </w:t>
      </w:r>
      <w:r>
        <w:rPr>
          <w:i/>
          <w:iCs/>
        </w:rPr>
        <w:t xml:space="preserve">Allergy</w:t>
      </w:r>
      <w:r>
        <w:t xml:space="preserve">. 2023 Jan;78(1):71-83. DOI:</w:t>
      </w:r>
      <w:r>
        <w:t xml:space="preserve"> </w:t>
      </w:r>
      <w:hyperlink r:id="rId54">
        <w:r>
          <w:rPr>
            <w:rStyle w:val="Hyperlink"/>
          </w:rPr>
          <w:t xml:space="preserve">10.1111/all.15571</w:t>
        </w:r>
      </w:hyperlink>
      <w:r>
        <w:t xml:space="preserve">. PMID: 36321821. PMCID: PMC9878056.</w:t>
      </w:r>
    </w:p>
    <w:p>
      <w:pPr>
        <w:pStyle w:val="Compact"/>
        <w:numPr>
          <w:ilvl w:val="0"/>
          <w:numId w:val="1014"/>
        </w:numPr>
      </w:pPr>
      <w:r>
        <w:t xml:space="preserve">Stone CA Jr, Robinson LB, Li L,</w:t>
      </w:r>
      <w:r>
        <w:t xml:space="preserve"> </w:t>
      </w:r>
      <w:r>
        <w:rPr>
          <w:b/>
          <w:bCs/>
        </w:rPr>
        <w:t xml:space="preserve">Krantz MS</w:t>
      </w:r>
      <w:r>
        <w:t xml:space="preserve">, Kwah JH, Ortega G, Mancini C, Wolfson AR, Saff RR, Samarakoon U, Hong DI, Koo G, Chow TG, Gruchalla R, Liao JX, Kuster JK, Price C, Ahola C, Khan DA, Phillips EJ, Banerji A, Blumenthal KG. Clinical Phenotypes of Immediate First- Dose Reactions to mRNA COVID-19: A Multicenter Latent Class Analysis.</w:t>
      </w:r>
      <w:r>
        <w:t xml:space="preserve"> </w:t>
      </w:r>
      <w:r>
        <w:rPr>
          <w:i/>
          <w:iCs/>
        </w:rPr>
        <w:t xml:space="preserve">J Allergy Clin Immunol Pract</w:t>
      </w:r>
      <w:r>
        <w:t xml:space="preserve">. 2023 Feb;11(2):458-465.e1. DOI:</w:t>
      </w:r>
      <w:r>
        <w:t xml:space="preserve"> </w:t>
      </w:r>
      <w:hyperlink r:id="rId55">
        <w:r>
          <w:rPr>
            <w:rStyle w:val="Hyperlink"/>
          </w:rPr>
          <w:t xml:space="preserve">10.1016/j.jaip.2022.08.048</w:t>
        </w:r>
      </w:hyperlink>
      <w:r>
        <w:t xml:space="preserve">. PMID: 36108922. PMCID: PMC9468049.</w:t>
      </w:r>
    </w:p>
    <w:p>
      <w:pPr>
        <w:pStyle w:val="Compact"/>
        <w:numPr>
          <w:ilvl w:val="0"/>
          <w:numId w:val="1014"/>
        </w:numPr>
      </w:pPr>
      <w:r>
        <w:t xml:space="preserve">Chu DK, Abrams EM, Golden DBK, Blumenthal KG, Wolfson AR, Stone CA Jr,</w:t>
      </w:r>
      <w:r>
        <w:t xml:space="preserve"> </w:t>
      </w:r>
      <w:r>
        <w:rPr>
          <w:b/>
          <w:bCs/>
        </w:rPr>
        <w:t xml:space="preserve">Krantz MS</w:t>
      </w:r>
      <w:r>
        <w:t xml:space="preserve">, Shaker M, Greenhawt M. Risk of Second Allergic Reaction to SARS-CoV-2 Vaccines: A Systematic Review and Meta-analysis.</w:t>
      </w:r>
      <w:r>
        <w:t xml:space="preserve"> </w:t>
      </w:r>
      <w:r>
        <w:rPr>
          <w:i/>
          <w:iCs/>
        </w:rPr>
        <w:t xml:space="preserve">JAMA Intern Med</w:t>
      </w:r>
      <w:r>
        <w:t xml:space="preserve">. 2022 Apr ;182(4):376-385. DOI:</w:t>
      </w:r>
      <w:r>
        <w:t xml:space="preserve"> </w:t>
      </w:r>
      <w:hyperlink r:id="rId56">
        <w:r>
          <w:rPr>
            <w:rStyle w:val="Hyperlink"/>
          </w:rPr>
          <w:t xml:space="preserve">10.1001/jamainternmed.2021.8515</w:t>
        </w:r>
      </w:hyperlink>
      <w:r>
        <w:t xml:space="preserve">. PMID: 35188528. PMCID: PMC8861900.</w:t>
      </w:r>
    </w:p>
    <w:p>
      <w:pPr>
        <w:pStyle w:val="Compact"/>
        <w:numPr>
          <w:ilvl w:val="0"/>
          <w:numId w:val="1014"/>
        </w:numPr>
      </w:pPr>
      <w:r>
        <w:t xml:space="preserve">Bruusgaard-Mouritsen MA, Koo G, Heinrichsen AS, Melchiors BB,</w:t>
      </w:r>
      <w:r>
        <w:t xml:space="preserve"> </w:t>
      </w:r>
      <w:r>
        <w:rPr>
          <w:b/>
          <w:bCs/>
        </w:rPr>
        <w:t xml:space="preserve">Krantz MS</w:t>
      </w:r>
      <w:r>
        <w:t xml:space="preserve">, Plager JH, Boxer M, Phillips EJ, Stone CA Jr, Garvey LH. Janssen COVID-19 vaccine tolerated in 10 patients with confirmed polyethylene glycol allergy.</w:t>
      </w:r>
      <w:r>
        <w:t xml:space="preserve"> </w:t>
      </w:r>
      <w:r>
        <w:rPr>
          <w:i/>
          <w:iCs/>
        </w:rPr>
        <w:t xml:space="preserve">J Allergy Clin Immunol Pract</w:t>
      </w:r>
      <w:r>
        <w:t xml:space="preserve">. 2022 Mar;10(3):859-862. DOI:</w:t>
      </w:r>
      <w:r>
        <w:t xml:space="preserve"> </w:t>
      </w:r>
      <w:hyperlink r:id="rId57">
        <w:r>
          <w:rPr>
            <w:rStyle w:val="Hyperlink"/>
          </w:rPr>
          <w:t xml:space="preserve">10.1016/j.jaip.2021.12.025</w:t>
        </w:r>
      </w:hyperlink>
      <w:r>
        <w:t xml:space="preserve">. PMID: 34979336. PMCID: PMC8719916.</w:t>
      </w:r>
    </w:p>
    <w:p>
      <w:pPr>
        <w:pStyle w:val="Compact"/>
        <w:numPr>
          <w:ilvl w:val="0"/>
          <w:numId w:val="1014"/>
        </w:numPr>
      </w:pPr>
      <w:r>
        <w:rPr>
          <w:b/>
          <w:bCs/>
        </w:rPr>
        <w:t xml:space="preserve">Krantz MS</w:t>
      </w:r>
      <w:r>
        <w:t xml:space="preserve">, Kwah JH, Stone CA Jr, Phillips EJ, Ortega G, Banerji A, Blumenthal KG. Safety Evaluation of the Second Dose of Messenger RNA COVID-19 Vaccines in Patients With Immediate Reactions to the First Dose.</w:t>
      </w:r>
      <w:r>
        <w:t xml:space="preserve"> </w:t>
      </w:r>
      <w:r>
        <w:rPr>
          <w:i/>
          <w:iCs/>
        </w:rPr>
        <w:t xml:space="preserve">JAMA Intern Med</w:t>
      </w:r>
      <w:r>
        <w:t xml:space="preserve">. 2021 Nov ;1;181(11):1530-1533. DOI:</w:t>
      </w:r>
      <w:r>
        <w:t xml:space="preserve"> </w:t>
      </w:r>
      <w:hyperlink r:id="rId58">
        <w:r>
          <w:rPr>
            <w:rStyle w:val="Hyperlink"/>
          </w:rPr>
          <w:t xml:space="preserve">10.1001/jamainternmed.2021.3779</w:t>
        </w:r>
      </w:hyperlink>
      <w:r>
        <w:t xml:space="preserve">. PMID: 34309623. PMCID: PMC8314170.</w:t>
      </w:r>
    </w:p>
    <w:p>
      <w:pPr>
        <w:pStyle w:val="Compact"/>
        <w:numPr>
          <w:ilvl w:val="0"/>
          <w:numId w:val="1014"/>
        </w:numPr>
      </w:pPr>
      <w:r>
        <w:rPr>
          <w:b/>
          <w:bCs/>
        </w:rPr>
        <w:t xml:space="preserve">Krantz MS</w:t>
      </w:r>
      <w:r>
        <w:t xml:space="preserve">, Stone CA Jr, Rolando LA, Nobis AE, Koo G, Corey KB, Bluestein SB, Staso PJ, Campbell EM, Phillips EJ. An academic hospital experience screening mRNA COVID-19 vaccine risk using patient allergy history.</w:t>
      </w:r>
      <w:r>
        <w:t xml:space="preserve"> </w:t>
      </w:r>
      <w:r>
        <w:rPr>
          <w:i/>
          <w:iCs/>
        </w:rPr>
        <w:t xml:space="preserve">J Allergy Clin Immunol Pract</w:t>
      </w:r>
      <w:r>
        <w:t xml:space="preserve">. 2021 Oct;9(10):3807-3810. DOI:</w:t>
      </w:r>
      <w:r>
        <w:t xml:space="preserve"> </w:t>
      </w:r>
      <w:hyperlink r:id="rId59">
        <w:r>
          <w:rPr>
            <w:rStyle w:val="Hyperlink"/>
          </w:rPr>
          <w:t xml:space="preserve">10.1016/j.jaip.2021.07.010</w:t>
        </w:r>
      </w:hyperlink>
      <w:r>
        <w:t xml:space="preserve">. PMID: 34293499. PMCID: PMC8288228.</w:t>
      </w:r>
    </w:p>
    <w:p>
      <w:pPr>
        <w:pStyle w:val="Compact"/>
        <w:numPr>
          <w:ilvl w:val="0"/>
          <w:numId w:val="1014"/>
        </w:numPr>
      </w:pPr>
      <w:r>
        <w:rPr>
          <w:b/>
          <w:bCs/>
        </w:rPr>
        <w:t xml:space="preserve">Krantz MS</w:t>
      </w:r>
      <w:r>
        <w:t xml:space="preserve">, Bruusgaard-Mouritsen MA, Koo G, Phillips EJ, Stone CA Jr, Garvey LH. Anaphylaxis to the first dose of mRNA SARS-CoV-2 vaccines: Don’t give up on the second dose.</w:t>
      </w:r>
      <w:r>
        <w:t xml:space="preserve"> </w:t>
      </w:r>
      <w:r>
        <w:rPr>
          <w:i/>
          <w:iCs/>
        </w:rPr>
        <w:t xml:space="preserve">Allergy</w:t>
      </w:r>
      <w:r>
        <w:t xml:space="preserve">. 2021 Sep;76(9):2916-2920. DOI:</w:t>
      </w:r>
      <w:r>
        <w:t xml:space="preserve"> </w:t>
      </w:r>
      <w:hyperlink r:id="rId60">
        <w:r>
          <w:rPr>
            <w:rStyle w:val="Hyperlink"/>
          </w:rPr>
          <w:t xml:space="preserve">10.1111/all.14958</w:t>
        </w:r>
      </w:hyperlink>
      <w:r>
        <w:t xml:space="preserve">. PMID: 34028041. PMCID: PMC8222898.</w:t>
      </w:r>
    </w:p>
    <w:p>
      <w:pPr>
        <w:pStyle w:val="Compact"/>
        <w:numPr>
          <w:ilvl w:val="0"/>
          <w:numId w:val="1014"/>
        </w:numPr>
      </w:pPr>
      <w:r>
        <w:t xml:space="preserve">Yu RJ,</w:t>
      </w:r>
      <w:r>
        <w:t xml:space="preserve"> </w:t>
      </w:r>
      <w:r>
        <w:rPr>
          <w:b/>
          <w:bCs/>
        </w:rPr>
        <w:t xml:space="preserve">Krantz MS</w:t>
      </w:r>
      <w:r>
        <w:t xml:space="preserve">, Phillips EJ, Stone CA Jr. Emerging Causes of Drug-Induced Anaphylaxis: A Review of Anaphylaxis-Associated Reports in the FDA Adverse Event Reporting System (FAERS).</w:t>
      </w:r>
      <w:r>
        <w:t xml:space="preserve"> </w:t>
      </w:r>
      <w:r>
        <w:rPr>
          <w:i/>
          <w:iCs/>
        </w:rPr>
        <w:t xml:space="preserve">J Allergy Clin Immunol Pract</w:t>
      </w:r>
      <w:r>
        <w:t xml:space="preserve">. 2021 Feb;9(2):819-829.e2. DOI:</w:t>
      </w:r>
      <w:r>
        <w:t xml:space="preserve"> </w:t>
      </w:r>
      <w:hyperlink r:id="rId61">
        <w:r>
          <w:rPr>
            <w:rStyle w:val="Hyperlink"/>
          </w:rPr>
          <w:t xml:space="preserve">10.1016/j.jaip.2020.09.021</w:t>
        </w:r>
      </w:hyperlink>
      <w:r>
        <w:t xml:space="preserve">. PMID: 32992044. PMCID: PMC7870524.</w:t>
      </w:r>
    </w:p>
    <w:p>
      <w:pPr>
        <w:pStyle w:val="Compact"/>
        <w:numPr>
          <w:ilvl w:val="0"/>
          <w:numId w:val="1014"/>
        </w:numPr>
      </w:pPr>
      <w:r>
        <w:rPr>
          <w:b/>
          <w:bCs/>
        </w:rPr>
        <w:t xml:space="preserve">Krantz MS</w:t>
      </w:r>
      <w:r>
        <w:t xml:space="preserve">, Stone CA Jr, Yu R, Adams SN, Phillips EJ. Criteria for intradermal skin testing and oral challenge in patients labeled as fluoroquinolone allergic.</w:t>
      </w:r>
      <w:r>
        <w:t xml:space="preserve"> </w:t>
      </w:r>
      <w:r>
        <w:rPr>
          <w:i/>
          <w:iCs/>
        </w:rPr>
        <w:t xml:space="preserve">J Allergy Clin Immunol Pract</w:t>
      </w:r>
      <w:r>
        <w:t xml:space="preserve">. 2021 Feb;9(2):1024-1028.e3. DOI:</w:t>
      </w:r>
      <w:r>
        <w:t xml:space="preserve"> </w:t>
      </w:r>
      <w:hyperlink r:id="rId62">
        <w:r>
          <w:rPr>
            <w:rStyle w:val="Hyperlink"/>
          </w:rPr>
          <w:t xml:space="preserve">10.1016/j.jaip.2020.09.017</w:t>
        </w:r>
      </w:hyperlink>
      <w:r>
        <w:t xml:space="preserve">. PMID: 32980582. PMCID: PMC8454706.</w:t>
      </w:r>
    </w:p>
    <w:p>
      <w:pPr>
        <w:pStyle w:val="Compact"/>
        <w:numPr>
          <w:ilvl w:val="0"/>
          <w:numId w:val="1014"/>
        </w:numPr>
      </w:pPr>
      <w:r>
        <w:rPr>
          <w:b/>
          <w:bCs/>
        </w:rPr>
        <w:t xml:space="preserve">Krantz MS</w:t>
      </w:r>
      <w:r>
        <w:t xml:space="preserve">, Liu Y, Phillips EJ, Stone CA Jr. Anaphylaxis to PEGylated liposomal echocardiogram contrast in a patient with IgE-mediated macrogol allergy.</w:t>
      </w:r>
      <w:r>
        <w:t xml:space="preserve"> </w:t>
      </w:r>
      <w:r>
        <w:rPr>
          <w:i/>
          <w:iCs/>
        </w:rPr>
        <w:t xml:space="preserve">J Allergy Clin Immunol Pract</w:t>
      </w:r>
      <w:r>
        <w:t xml:space="preserve">. 2020 Apr;8(4):1416-1419.e3. DOI:</w:t>
      </w:r>
      <w:r>
        <w:t xml:space="preserve"> </w:t>
      </w:r>
      <w:hyperlink r:id="rId63">
        <w:r>
          <w:rPr>
            <w:rStyle w:val="Hyperlink"/>
          </w:rPr>
          <w:t xml:space="preserve">10.1016/j.jaip.2019.12.041</w:t>
        </w:r>
      </w:hyperlink>
      <w:r>
        <w:t xml:space="preserve">. PMID: 31954852. PMCID: PMC7263401.</w:t>
      </w:r>
    </w:p>
    <w:p>
      <w:pPr>
        <w:pStyle w:val="Compact"/>
        <w:numPr>
          <w:ilvl w:val="0"/>
          <w:numId w:val="1014"/>
        </w:numPr>
      </w:pPr>
      <w:r>
        <w:rPr>
          <w:b/>
          <w:bCs/>
        </w:rPr>
        <w:t xml:space="preserve">Krantz MS</w:t>
      </w:r>
      <w:r>
        <w:t xml:space="preserve">, Stone CA Jr, Abreo A, Phillips EJ. Oral challenge with trimethoprim- sulfamethoxazole in patients with</w:t>
      </w:r>
      <w:r>
        <w:t xml:space="preserve"> </w:t>
      </w:r>
      <w:r>
        <w:t xml:space="preserve">“sulfa”</w:t>
      </w:r>
      <w:r>
        <w:t xml:space="preserve"> </w:t>
      </w:r>
      <w:r>
        <w:t xml:space="preserve">antibiotic allergy.</w:t>
      </w:r>
      <w:r>
        <w:t xml:space="preserve"> </w:t>
      </w:r>
      <w:r>
        <w:rPr>
          <w:i/>
          <w:iCs/>
        </w:rPr>
        <w:t xml:space="preserve">J Allergy Clin Immunol Pract</w:t>
      </w:r>
      <w:r>
        <w:t xml:space="preserve">. 2020 Feb;8(2):757-760.e4. DOI:</w:t>
      </w:r>
      <w:r>
        <w:t xml:space="preserve"> </w:t>
      </w:r>
      <w:hyperlink r:id="rId64">
        <w:r>
          <w:rPr>
            <w:rStyle w:val="Hyperlink"/>
          </w:rPr>
          <w:t xml:space="preserve">10.1016/j.jaip.2019.07.003</w:t>
        </w:r>
      </w:hyperlink>
      <w:r>
        <w:t xml:space="preserve">. PMID: 31319222. PMCID: PMC6960372.</w:t>
      </w:r>
    </w:p>
    <w:p>
      <w:pPr>
        <w:pStyle w:val="Compact"/>
        <w:numPr>
          <w:ilvl w:val="0"/>
          <w:numId w:val="1014"/>
        </w:numPr>
      </w:pPr>
      <w:r>
        <w:t xml:space="preserve">Stone CA Jr, Liu Y, Relling MV,</w:t>
      </w:r>
      <w:r>
        <w:t xml:space="preserve"> </w:t>
      </w:r>
      <w:r>
        <w:rPr>
          <w:b/>
          <w:bCs/>
        </w:rPr>
        <w:t xml:space="preserve">Krantz MS</w:t>
      </w:r>
      <w:r>
        <w:t xml:space="preserve">, Pratt AL, Abreo A, Hemler JA, Phillips EJ. Immediate Hypersensitivity to Polyethylene Glycols and Polysorbates: More Common Than We Have Recognized.</w:t>
      </w:r>
      <w:r>
        <w:t xml:space="preserve"> </w:t>
      </w:r>
      <w:r>
        <w:rPr>
          <w:i/>
          <w:iCs/>
        </w:rPr>
        <w:t xml:space="preserve">J Allergy Clin Immunol Pract</w:t>
      </w:r>
      <w:r>
        <w:t xml:space="preserve">. 2019 May-Jun;7(5):1533-1540.e8. DOI:</w:t>
      </w:r>
      <w:r>
        <w:t xml:space="preserve"> </w:t>
      </w:r>
      <w:hyperlink r:id="rId65">
        <w:r>
          <w:rPr>
            <w:rStyle w:val="Hyperlink"/>
          </w:rPr>
          <w:t xml:space="preserve">10.1016/j.jaip.2018.12.003</w:t>
        </w:r>
      </w:hyperlink>
      <w:r>
        <w:t xml:space="preserve">. PMID: 30557713. PMCID: PMC6706272.</w:t>
      </w:r>
    </w:p>
    <w:p>
      <w:pPr>
        <w:pStyle w:val="Compact"/>
        <w:numPr>
          <w:ilvl w:val="0"/>
          <w:numId w:val="1014"/>
        </w:numPr>
      </w:pPr>
      <w:r>
        <w:t xml:space="preserve">Yang W, Wang L, Roehn G, Pearlstein RD, Ali-Osman F, Pan H, Goldbrunner R,</w:t>
      </w:r>
      <w:r>
        <w:t xml:space="preserve"> </w:t>
      </w:r>
      <w:r>
        <w:rPr>
          <w:b/>
          <w:bCs/>
        </w:rPr>
        <w:t xml:space="preserve">Krantz MS</w:t>
      </w:r>
      <w:r>
        <w:t xml:space="preserve">, Harms C, Paschen W. Small ubiquitin-like modifier 1-3 conjugation [corrected] is activated in human astrocytic brain tumors and is required for glioblastoma cell survival.</w:t>
      </w:r>
      <w:r>
        <w:t xml:space="preserve"> </w:t>
      </w:r>
      <w:r>
        <w:rPr>
          <w:i/>
          <w:iCs/>
        </w:rPr>
        <w:t xml:space="preserve">Cancer Sci</w:t>
      </w:r>
      <w:r>
        <w:t xml:space="preserve">. 2013 Jan;104(1):70-7. DOI:</w:t>
      </w:r>
      <w:r>
        <w:t xml:space="preserve"> </w:t>
      </w:r>
      <w:hyperlink r:id="rId66">
        <w:r>
          <w:rPr>
            <w:rStyle w:val="Hyperlink"/>
          </w:rPr>
          <w:t xml:space="preserve">10.1111/cas.12047</w:t>
        </w:r>
      </w:hyperlink>
      <w:r>
        <w:t xml:space="preserve">. PMID: 23078246. PMCID: PMC3608476.</w:t>
      </w:r>
    </w:p>
    <w:bookmarkEnd w:id="67"/>
    <w:bookmarkStart w:id="74" w:name="reviews"/>
    <w:p>
      <w:pPr>
        <w:pStyle w:val="Heading3"/>
      </w:pPr>
      <w:r>
        <w:t xml:space="preserve">Reviews</w:t>
      </w:r>
    </w:p>
    <w:p>
      <w:pPr>
        <w:pStyle w:val="Compact"/>
        <w:numPr>
          <w:ilvl w:val="0"/>
          <w:numId w:val="1015"/>
        </w:numPr>
      </w:pPr>
      <w:r>
        <w:rPr>
          <w:b/>
          <w:bCs/>
        </w:rPr>
        <w:t xml:space="preserve">Krantz MS</w:t>
      </w:r>
      <w:r>
        <w:t xml:space="preserve">, Phillips EJ. Drug Reaction With Eosinophilia and Systemic Symptoms.</w:t>
      </w:r>
      <w:r>
        <w:t xml:space="preserve"> </w:t>
      </w:r>
      <w:r>
        <w:rPr>
          <w:i/>
          <w:iCs/>
        </w:rPr>
        <w:t xml:space="preserve">JAMA Dermatol</w:t>
      </w:r>
      <w:r>
        <w:t xml:space="preserve">. 2023 Mar;159(3):348. DOI:</w:t>
      </w:r>
      <w:r>
        <w:t xml:space="preserve"> </w:t>
      </w:r>
      <w:hyperlink r:id="rId68">
        <w:r>
          <w:rPr>
            <w:rStyle w:val="Hyperlink"/>
          </w:rPr>
          <w:t xml:space="preserve">10.1001/jamadermatol.2022.4519</w:t>
        </w:r>
      </w:hyperlink>
      <w:r>
        <w:t xml:space="preserve">. PMID: 36630118.</w:t>
      </w:r>
      <w:r>
        <w:br/>
      </w:r>
    </w:p>
    <w:p>
      <w:pPr>
        <w:pStyle w:val="Compact"/>
        <w:numPr>
          <w:ilvl w:val="0"/>
          <w:numId w:val="1015"/>
        </w:numPr>
      </w:pPr>
      <w:r>
        <w:t xml:space="preserve">Gibson A, Deshpande P, Campbell CN,</w:t>
      </w:r>
      <w:r>
        <w:t xml:space="preserve"> </w:t>
      </w:r>
      <w:r>
        <w:rPr>
          <w:b/>
          <w:bCs/>
        </w:rPr>
        <w:t xml:space="preserve">Krantz MS</w:t>
      </w:r>
      <w:r>
        <w:t xml:space="preserve">, Mukherjee E, Mockenhaupt M, Pirmohamed M, Palubinsky AM, Phillips EJ. Updates on the immunopathology and genomics of severe cutaneous adverse drug reactions.</w:t>
      </w:r>
      <w:r>
        <w:t xml:space="preserve"> </w:t>
      </w:r>
      <w:r>
        <w:rPr>
          <w:i/>
          <w:iCs/>
        </w:rPr>
        <w:t xml:space="preserve">J Allergy Clin Immunol</w:t>
      </w:r>
      <w:r>
        <w:t xml:space="preserve">. 2023 Feb;151(2):289-300.e4. DOI:</w:t>
      </w:r>
      <w:r>
        <w:t xml:space="preserve"> </w:t>
      </w:r>
      <w:hyperlink r:id="rId69">
        <w:r>
          <w:rPr>
            <w:rStyle w:val="Hyperlink"/>
          </w:rPr>
          <w:t xml:space="preserve">10.1016/j.jaci.2022.12.005</w:t>
        </w:r>
      </w:hyperlink>
      <w:r>
        <w:t xml:space="preserve">. PMID: 36740326. PMCID: PMC9976545.</w:t>
      </w:r>
    </w:p>
    <w:p>
      <w:pPr>
        <w:pStyle w:val="Compact"/>
        <w:numPr>
          <w:ilvl w:val="0"/>
          <w:numId w:val="1015"/>
        </w:numPr>
      </w:pPr>
      <w:r>
        <w:rPr>
          <w:b/>
          <w:bCs/>
        </w:rPr>
        <w:t xml:space="preserve">Krantz MS</w:t>
      </w:r>
      <w:r>
        <w:t xml:space="preserve">, Kerchberger VE, Wei WQ. Novel Analysis Methods to Mine Immune-Mediated Phenotypes and Find Genetic Variation Within the Electronic Health Record (Roadmap for Phenotype to Genotype: Immunogenomics).</w:t>
      </w:r>
      <w:r>
        <w:t xml:space="preserve"> </w:t>
      </w:r>
      <w:r>
        <w:rPr>
          <w:i/>
          <w:iCs/>
        </w:rPr>
        <w:t xml:space="preserve">J Allergy Clin Immunol Pract</w:t>
      </w:r>
      <w:r>
        <w:t xml:space="preserve">. 2022 Jul;10(7):1757- 1762. DOI:</w:t>
      </w:r>
      <w:r>
        <w:t xml:space="preserve"> </w:t>
      </w:r>
      <w:hyperlink r:id="rId70">
        <w:r>
          <w:rPr>
            <w:rStyle w:val="Hyperlink"/>
          </w:rPr>
          <w:t xml:space="preserve">10.1016/j.jaip.2022.04.016</w:t>
        </w:r>
      </w:hyperlink>
      <w:r>
        <w:t xml:space="preserve">. PMID: 35487368. PMCID: PMC9624141.</w:t>
      </w:r>
    </w:p>
    <w:p>
      <w:pPr>
        <w:pStyle w:val="Compact"/>
        <w:numPr>
          <w:ilvl w:val="0"/>
          <w:numId w:val="1015"/>
        </w:numPr>
      </w:pPr>
      <w:r>
        <w:t xml:space="preserve">Bruusgaard-Mouritsen MA, Nasser S, Garvey LH,</w:t>
      </w:r>
      <w:r>
        <w:t xml:space="preserve"> </w:t>
      </w:r>
      <w:r>
        <w:rPr>
          <w:b/>
          <w:bCs/>
        </w:rPr>
        <w:t xml:space="preserve">Krantz MS</w:t>
      </w:r>
      <w:r>
        <w:t xml:space="preserve">, Stone CA Jr. Anaphylaxis to Excipients in Current Clinical Practice: Evaluation and Management.</w:t>
      </w:r>
      <w:r>
        <w:t xml:space="preserve"> </w:t>
      </w:r>
      <w:r>
        <w:rPr>
          <w:i/>
          <w:iCs/>
        </w:rPr>
        <w:t xml:space="preserve">Immunol Allergy Clin North Am</w:t>
      </w:r>
      <w:r>
        <w:t xml:space="preserve">. 2022 May;42(2):239-267. DOI:</w:t>
      </w:r>
      <w:r>
        <w:t xml:space="preserve"> </w:t>
      </w:r>
      <w:hyperlink r:id="rId71">
        <w:r>
          <w:rPr>
            <w:rStyle w:val="Hyperlink"/>
          </w:rPr>
          <w:t xml:space="preserve">10.1016/j.iac.2021.12.008</w:t>
        </w:r>
      </w:hyperlink>
      <w:r>
        <w:t xml:space="preserve">. PMID: 35469617. PMCID: PMC9907103.</w:t>
      </w:r>
    </w:p>
    <w:p>
      <w:pPr>
        <w:pStyle w:val="Compact"/>
        <w:numPr>
          <w:ilvl w:val="0"/>
          <w:numId w:val="1015"/>
        </w:numPr>
      </w:pPr>
      <w:r>
        <w:t xml:space="preserve">Caballero ML,</w:t>
      </w:r>
      <w:r>
        <w:t xml:space="preserve"> </w:t>
      </w:r>
      <w:r>
        <w:rPr>
          <w:b/>
          <w:bCs/>
        </w:rPr>
        <w:t xml:space="preserve">Krantz MS</w:t>
      </w:r>
      <w:r>
        <w:t xml:space="preserve">, Quirce S, Phillips EJ, Stone CA Jr. Hidden Dangers: Recognizing Excipients as Potential Causes of Drug and Vaccine Hypersensitivity Reactions.</w:t>
      </w:r>
      <w:r>
        <w:t xml:space="preserve"> </w:t>
      </w:r>
      <w:r>
        <w:rPr>
          <w:i/>
          <w:iCs/>
        </w:rPr>
        <w:t xml:space="preserve">J Allergy Clin Immunol Pract</w:t>
      </w:r>
      <w:r>
        <w:t xml:space="preserve">. 2021 Aug;9(8):2968-2982. DOI:</w:t>
      </w:r>
      <w:r>
        <w:t xml:space="preserve"> </w:t>
      </w:r>
      <w:hyperlink r:id="rId72">
        <w:r>
          <w:rPr>
            <w:rStyle w:val="Hyperlink"/>
          </w:rPr>
          <w:t xml:space="preserve">10.1016/j.jaip.2021.03.002</w:t>
        </w:r>
      </w:hyperlink>
      <w:r>
        <w:t xml:space="preserve">. PMID: 33737254. PMCID: PMC8355062.</w:t>
      </w:r>
    </w:p>
    <w:p>
      <w:pPr>
        <w:pStyle w:val="Compact"/>
        <w:numPr>
          <w:ilvl w:val="0"/>
          <w:numId w:val="1015"/>
        </w:numPr>
      </w:pPr>
      <w:r>
        <w:t xml:space="preserve">Waldron JL,</w:t>
      </w:r>
      <w:r>
        <w:t xml:space="preserve"> </w:t>
      </w:r>
      <w:r>
        <w:rPr>
          <w:b/>
          <w:bCs/>
        </w:rPr>
        <w:t xml:space="preserve">Krantz MS</w:t>
      </w:r>
      <w:r>
        <w:t xml:space="preserve">, Sukasem C, Norton AE. The Role of In Vivo, In Vitro and Pharmacogenomic Diagnostic Approaches to Sulfonamide Allergy.</w:t>
      </w:r>
      <w:r>
        <w:t xml:space="preserve"> </w:t>
      </w:r>
      <w:r>
        <w:rPr>
          <w:i/>
          <w:iCs/>
        </w:rPr>
        <w:t xml:space="preserve">J Allergy Clin Immunol Pract</w:t>
      </w:r>
      <w:r>
        <w:t xml:space="preserve">. 2026 May;14(5):1023-1032. DOI:</w:t>
      </w:r>
      <w:r>
        <w:t xml:space="preserve"> </w:t>
      </w:r>
      <w:hyperlink r:id="rId73">
        <w:r>
          <w:rPr>
            <w:rStyle w:val="Hyperlink"/>
          </w:rPr>
          <w:t xml:space="preserve">10.1016/j.jaip.2026.02.029</w:t>
        </w:r>
      </w:hyperlink>
      <w:r>
        <w:t xml:space="preserve">. PMID: 42103429.</w:t>
      </w:r>
    </w:p>
    <w:bookmarkEnd w:id="74"/>
    <w:bookmarkStart w:id="82" w:name="invited-editorials"/>
    <w:p>
      <w:pPr>
        <w:pStyle w:val="Heading3"/>
      </w:pPr>
      <w:r>
        <w:t xml:space="preserve">Invited Editorials</w:t>
      </w:r>
    </w:p>
    <w:p>
      <w:pPr>
        <w:pStyle w:val="Compact"/>
        <w:numPr>
          <w:ilvl w:val="0"/>
          <w:numId w:val="1016"/>
        </w:numPr>
      </w:pPr>
      <w:r>
        <w:rPr>
          <w:b/>
          <w:bCs/>
        </w:rPr>
        <w:t xml:space="preserve">Krantz MS</w:t>
      </w:r>
      <w:r>
        <w:t xml:space="preserve">, Phillips EJ. Drug Reaction With Eosinophilia and Systemic Symptoms.</w:t>
      </w:r>
      <w:r>
        <w:t xml:space="preserve"> </w:t>
      </w:r>
      <w:r>
        <w:rPr>
          <w:i/>
          <w:iCs/>
        </w:rPr>
        <w:t xml:space="preserve">JAMA Dermatol</w:t>
      </w:r>
      <w:r>
        <w:t xml:space="preserve">. 2023 Mar;159(3):348. DOI:</w:t>
      </w:r>
      <w:r>
        <w:t xml:space="preserve"> </w:t>
      </w:r>
      <w:hyperlink r:id="rId68">
        <w:r>
          <w:rPr>
            <w:rStyle w:val="Hyperlink"/>
          </w:rPr>
          <w:t xml:space="preserve">10.1001/jamadermatol.2022.4519</w:t>
        </w:r>
      </w:hyperlink>
      <w:r>
        <w:t xml:space="preserve">. PMID: 36630118.</w:t>
      </w:r>
      <w:r>
        <w:br/>
      </w:r>
    </w:p>
    <w:p>
      <w:pPr>
        <w:pStyle w:val="Compact"/>
        <w:numPr>
          <w:ilvl w:val="0"/>
          <w:numId w:val="1016"/>
        </w:numPr>
      </w:pPr>
      <w:r>
        <w:t xml:space="preserve">Frush BW, Blythe JA,</w:t>
      </w:r>
      <w:r>
        <w:t xml:space="preserve"> </w:t>
      </w:r>
      <w:r>
        <w:rPr>
          <w:b/>
          <w:bCs/>
        </w:rPr>
        <w:t xml:space="preserve">Krantz MS</w:t>
      </w:r>
      <w:r>
        <w:t xml:space="preserve">, Zaidi D. Ethical Considerations for the Just Utilization of House Staff During the COVID-19 Pandemic.</w:t>
      </w:r>
      <w:r>
        <w:t xml:space="preserve"> </w:t>
      </w:r>
      <w:r>
        <w:rPr>
          <w:i/>
          <w:iCs/>
        </w:rPr>
        <w:t xml:space="preserve">Am J Bioeth</w:t>
      </w:r>
      <w:r>
        <w:t xml:space="preserve">. 2022 Mar;22(3):6-8. DOI:</w:t>
      </w:r>
      <w:r>
        <w:t xml:space="preserve"> </w:t>
      </w:r>
      <w:hyperlink r:id="rId75">
        <w:r>
          <w:rPr>
            <w:rStyle w:val="Hyperlink"/>
          </w:rPr>
          <w:t xml:space="preserve">10.1080/15265161.2022.2030590</w:t>
        </w:r>
      </w:hyperlink>
      <w:r>
        <w:t xml:space="preserve">. PMID: 35258419.</w:t>
      </w:r>
      <w:r>
        <w:br/>
      </w:r>
    </w:p>
    <w:p>
      <w:pPr>
        <w:pStyle w:val="Compact"/>
        <w:numPr>
          <w:ilvl w:val="0"/>
          <w:numId w:val="1016"/>
        </w:numPr>
      </w:pPr>
      <w:r>
        <w:rPr>
          <w:b/>
          <w:bCs/>
        </w:rPr>
        <w:t xml:space="preserve">Krantz MS</w:t>
      </w:r>
      <w:r>
        <w:t xml:space="preserve">, Phillips EJ. COVID-19 mRNA vaccine safety during the first 6 months of roll-out in the USA.</w:t>
      </w:r>
      <w:r>
        <w:t xml:space="preserve"> </w:t>
      </w:r>
      <w:r>
        <w:rPr>
          <w:i/>
          <w:iCs/>
        </w:rPr>
        <w:t xml:space="preserve">Lancet Infect Dis</w:t>
      </w:r>
      <w:r>
        <w:t xml:space="preserve">. 2022 Jun;22(6):747-748. DOI:</w:t>
      </w:r>
      <w:r>
        <w:t xml:space="preserve"> </w:t>
      </w:r>
      <w:hyperlink r:id="rId76">
        <w:r>
          <w:rPr>
            <w:rStyle w:val="Hyperlink"/>
          </w:rPr>
          <w:t xml:space="preserve">10.1016/S1473-3099(22)00123-2</w:t>
        </w:r>
      </w:hyperlink>
      <w:r>
        <w:t xml:space="preserve">. PMID: 35271806. PMCID: PMC8901182.</w:t>
      </w:r>
    </w:p>
    <w:p>
      <w:pPr>
        <w:pStyle w:val="Compact"/>
        <w:numPr>
          <w:ilvl w:val="0"/>
          <w:numId w:val="1016"/>
        </w:numPr>
      </w:pPr>
      <w:r>
        <w:t xml:space="preserve">Frush BW, Richardson TL,</w:t>
      </w:r>
      <w:r>
        <w:t xml:space="preserve"> </w:t>
      </w:r>
      <w:r>
        <w:rPr>
          <w:b/>
          <w:bCs/>
        </w:rPr>
        <w:t xml:space="preserve">Krantz MS</w:t>
      </w:r>
      <w:r>
        <w:t xml:space="preserve">. The Admission Checklist: The key steps and responsibilities for the admitting resident.</w:t>
      </w:r>
      <w:r>
        <w:t xml:space="preserve"> </w:t>
      </w:r>
      <w:r>
        <w:rPr>
          <w:i/>
          <w:iCs/>
        </w:rPr>
        <w:t xml:space="preserve">Ann Med Surg (Lond)</w:t>
      </w:r>
      <w:r>
        <w:t xml:space="preserve">. 2022 Feb;75:103388. DOI:</w:t>
      </w:r>
      <w:r>
        <w:t xml:space="preserve"> </w:t>
      </w:r>
      <w:hyperlink r:id="rId77">
        <w:r>
          <w:rPr>
            <w:rStyle w:val="Hyperlink"/>
          </w:rPr>
          <w:t xml:space="preserve">10.1016/j.amsu.2022.103388</w:t>
        </w:r>
      </w:hyperlink>
      <w:r>
        <w:t xml:space="preserve">. PMID: 35386761. PMCID: PMC8978045.</w:t>
      </w:r>
    </w:p>
    <w:p>
      <w:pPr>
        <w:pStyle w:val="Compact"/>
        <w:numPr>
          <w:ilvl w:val="0"/>
          <w:numId w:val="1016"/>
        </w:numPr>
      </w:pPr>
      <w:r>
        <w:rPr>
          <w:b/>
          <w:bCs/>
        </w:rPr>
        <w:t xml:space="preserve">Krantz MS</w:t>
      </w:r>
      <w:r>
        <w:t xml:space="preserve">, Stone CA Jr, Abreo A, Phillips EJ. Reply to ’’The safety and efficacy of direct oral challenge in trimethoprim-sulfamethoxazole antibiotic allergy”.</w:t>
      </w:r>
      <w:r>
        <w:t xml:space="preserve"> </w:t>
      </w:r>
      <w:r>
        <w:rPr>
          <w:i/>
          <w:iCs/>
        </w:rPr>
        <w:t xml:space="preserve">J Allergy Clin Immunol Pract</w:t>
      </w:r>
      <w:r>
        <w:t xml:space="preserve">. 2021 Oct;9(10):3849-3850. DOI:</w:t>
      </w:r>
      <w:r>
        <w:t xml:space="preserve"> </w:t>
      </w:r>
      <w:hyperlink r:id="rId78">
        <w:r>
          <w:rPr>
            <w:rStyle w:val="Hyperlink"/>
          </w:rPr>
          <w:t xml:space="preserve">10.1016/j.jaip.2021.07.027</w:t>
        </w:r>
      </w:hyperlink>
      <w:r>
        <w:t xml:space="preserve">. PMID: 34627544.</w:t>
      </w:r>
      <w:r>
        <w:br/>
      </w:r>
    </w:p>
    <w:p>
      <w:pPr>
        <w:pStyle w:val="Compact"/>
        <w:numPr>
          <w:ilvl w:val="0"/>
          <w:numId w:val="1016"/>
        </w:numPr>
      </w:pPr>
      <w:r>
        <w:rPr>
          <w:b/>
          <w:bCs/>
        </w:rPr>
        <w:t xml:space="preserve">Krantz MS</w:t>
      </w:r>
      <w:r>
        <w:t xml:space="preserve">, Liu Y, Phillips EJ, Stone CA Jr. COVID-19 vaccine anaphylaxis: PEG or not? .</w:t>
      </w:r>
      <w:r>
        <w:t xml:space="preserve"> </w:t>
      </w:r>
      <w:r>
        <w:rPr>
          <w:i/>
          <w:iCs/>
        </w:rPr>
        <w:t xml:space="preserve">Allergy</w:t>
      </w:r>
      <w:r>
        <w:t xml:space="preserve">. 2021 Jun;76(6):1934-1937. DOI:</w:t>
      </w:r>
      <w:r>
        <w:t xml:space="preserve"> </w:t>
      </w:r>
      <w:hyperlink r:id="rId79">
        <w:r>
          <w:rPr>
            <w:rStyle w:val="Hyperlink"/>
          </w:rPr>
          <w:t xml:space="preserve">10.1111/all.14722</w:t>
        </w:r>
      </w:hyperlink>
      <w:r>
        <w:t xml:space="preserve">. PMID: 3412856. PMCID: PMC8441754.</w:t>
      </w:r>
    </w:p>
    <w:p>
      <w:pPr>
        <w:pStyle w:val="Compact"/>
        <w:numPr>
          <w:ilvl w:val="0"/>
          <w:numId w:val="1016"/>
        </w:numPr>
      </w:pPr>
      <w:r>
        <w:rPr>
          <w:b/>
          <w:bCs/>
        </w:rPr>
        <w:t xml:space="preserve">Krantz MS</w:t>
      </w:r>
      <w:r>
        <w:t xml:space="preserve">, Frush BW. How to run a case: a guide for the resident at morning report.</w:t>
      </w:r>
      <w:r>
        <w:t xml:space="preserve"> </w:t>
      </w:r>
      <w:r>
        <w:rPr>
          <w:i/>
          <w:iCs/>
        </w:rPr>
        <w:t xml:space="preserve">Postgrad Med J</w:t>
      </w:r>
      <w:r>
        <w:t xml:space="preserve">. 2021 Aug; DOI:</w:t>
      </w:r>
      <w:r>
        <w:t xml:space="preserve"> </w:t>
      </w:r>
      <w:hyperlink r:id="rId80">
        <w:r>
          <w:rPr>
            <w:rStyle w:val="Hyperlink"/>
          </w:rPr>
          <w:t xml:space="preserve">10.1136/postgradmedj-2020-138662</w:t>
        </w:r>
      </w:hyperlink>
      <w:r>
        <w:t xml:space="preserve">.</w:t>
      </w:r>
      <w:r>
        <w:br/>
      </w:r>
    </w:p>
    <w:p>
      <w:pPr>
        <w:pStyle w:val="Compact"/>
        <w:numPr>
          <w:ilvl w:val="0"/>
          <w:numId w:val="1016"/>
        </w:numPr>
      </w:pPr>
      <w:r>
        <w:rPr>
          <w:b/>
          <w:bCs/>
        </w:rPr>
        <w:t xml:space="preserve">Krantz MS</w:t>
      </w:r>
      <w:r>
        <w:t xml:space="preserve">, Berg JS. Crowdsourcing to define the clinical actionability of incidental findings of genetic testing.</w:t>
      </w:r>
      <w:r>
        <w:t xml:space="preserve"> </w:t>
      </w:r>
      <w:r>
        <w:rPr>
          <w:i/>
          <w:iCs/>
        </w:rPr>
        <w:t xml:space="preserve">N C Med J</w:t>
      </w:r>
      <w:r>
        <w:t xml:space="preserve">. 2013 Nov;74(6):501-2. DOI:</w:t>
      </w:r>
      <w:r>
        <w:t xml:space="preserve"> </w:t>
      </w:r>
      <w:hyperlink r:id="rId81">
        <w:r>
          <w:rPr>
            <w:rStyle w:val="Hyperlink"/>
          </w:rPr>
          <w:t xml:space="preserve">10.18043/ncm.74.6.501</w:t>
        </w:r>
      </w:hyperlink>
      <w:r>
        <w:t xml:space="preserve">. PMID: 24316777.</w:t>
      </w:r>
    </w:p>
    <w:bookmarkEnd w:id="82"/>
    <w:bookmarkStart w:id="85" w:name="case-reports"/>
    <w:p>
      <w:pPr>
        <w:pStyle w:val="Heading3"/>
      </w:pPr>
      <w:r>
        <w:t xml:space="preserve">Case Reports</w:t>
      </w:r>
    </w:p>
    <w:p>
      <w:pPr>
        <w:pStyle w:val="Compact"/>
        <w:numPr>
          <w:ilvl w:val="0"/>
          <w:numId w:val="1017"/>
        </w:numPr>
      </w:pPr>
      <w:r>
        <w:t xml:space="preserve">Yan A, Fernandez E,</w:t>
      </w:r>
      <w:r>
        <w:t xml:space="preserve"> </w:t>
      </w:r>
      <w:r>
        <w:rPr>
          <w:b/>
          <w:bCs/>
        </w:rPr>
        <w:t xml:space="preserve">Krantz MS</w:t>
      </w:r>
      <w:r>
        <w:t xml:space="preserve">, Kahwash BM, Phillips EJ, Stone CA. Carboxymethylcellulose: A hidden culprit in immediate hypersensitivity reactions after triamcinolone injections.</w:t>
      </w:r>
      <w:r>
        <w:t xml:space="preserve"> </w:t>
      </w:r>
      <w:r>
        <w:rPr>
          <w:i/>
          <w:iCs/>
        </w:rPr>
        <w:t xml:space="preserve">J Allergy Clin Immunol Glob</w:t>
      </w:r>
      <w:r>
        <w:t xml:space="preserve">. 2024 Sep;3(4):100337. DOI:</w:t>
      </w:r>
      <w:r>
        <w:t xml:space="preserve"> </w:t>
      </w:r>
      <w:hyperlink r:id="rId83">
        <w:r>
          <w:rPr>
            <w:rStyle w:val="Hyperlink"/>
          </w:rPr>
          <w:t xml:space="preserve">10.1016/j.jacig.2024.100337</w:t>
        </w:r>
      </w:hyperlink>
      <w:r>
        <w:t xml:space="preserve">. PMID: 39391128. PMCID: PMC11465078.</w:t>
      </w:r>
    </w:p>
    <w:p>
      <w:pPr>
        <w:pStyle w:val="Compact"/>
        <w:numPr>
          <w:ilvl w:val="0"/>
          <w:numId w:val="1017"/>
        </w:numPr>
      </w:pPr>
      <w:r>
        <w:rPr>
          <w:b/>
          <w:bCs/>
        </w:rPr>
        <w:t xml:space="preserve">Krantz MS</w:t>
      </w:r>
      <w:r>
        <w:t xml:space="preserve">, Stone CA Jr, Connelly JA, Norton AE, Khan YW. The effect of delayed and early diagnosis in siblings, and importance of newborn screening for SCID.</w:t>
      </w:r>
      <w:r>
        <w:t xml:space="preserve"> </w:t>
      </w:r>
      <w:r>
        <w:rPr>
          <w:i/>
          <w:iCs/>
        </w:rPr>
        <w:t xml:space="preserve">Ann Allergy Asthma Immunol</w:t>
      </w:r>
      <w:r>
        <w:t xml:space="preserve">. 2019 Feb;122(2):211-213. DOI:</w:t>
      </w:r>
      <w:r>
        <w:t xml:space="preserve"> </w:t>
      </w:r>
      <w:hyperlink r:id="rId84">
        <w:r>
          <w:rPr>
            <w:rStyle w:val="Hyperlink"/>
          </w:rPr>
          <w:t xml:space="preserve">10.1016/j.anai.2018.11.002</w:t>
        </w:r>
      </w:hyperlink>
      <w:r>
        <w:t xml:space="preserve">. PMID: 30439467. PMCID: PMC6719690.</w:t>
      </w:r>
    </w:p>
    <w:bookmarkEnd w:id="85"/>
    <w:bookmarkEnd w:id="86"/>
    <w:bookmarkStart w:id="87" w:name="book-chapters"/>
    <w:p>
      <w:pPr>
        <w:pStyle w:val="Heading2"/>
      </w:pPr>
      <w:r>
        <w:t xml:space="preserve">Book Chapters</w:t>
      </w:r>
    </w:p>
    <w:p>
      <w:pPr>
        <w:pStyle w:val="Compact"/>
        <w:numPr>
          <w:ilvl w:val="0"/>
          <w:numId w:val="1018"/>
        </w:numPr>
      </w:pPr>
      <w:r>
        <w:t xml:space="preserve">Brown L, Alexander S, Moo-Young J, McDonald M, Mitchell K,</w:t>
      </w:r>
      <w:r>
        <w:t xml:space="preserve"> </w:t>
      </w:r>
      <w:r>
        <w:rPr>
          <w:b/>
          <w:bCs/>
        </w:rPr>
        <w:t xml:space="preserve">Krantz MS</w:t>
      </w:r>
      <w:r>
        <w:t xml:space="preserve">. (2024)</w:t>
      </w:r>
      <w:r>
        <w:t xml:space="preserve"> </w:t>
      </w:r>
      <w:r>
        <w:t xml:space="preserve">“Asthma”</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t xml:space="preserve">Sundar A,</w:t>
      </w:r>
      <w:r>
        <w:t xml:space="preserve"> </w:t>
      </w:r>
      <w:r>
        <w:rPr>
          <w:b/>
          <w:bCs/>
        </w:rPr>
        <w:t xml:space="preserve">Krantz MS</w:t>
      </w:r>
      <w:r>
        <w:t xml:space="preserve">. (2022)</w:t>
      </w:r>
      <w:r>
        <w:t xml:space="preserve"> </w:t>
      </w:r>
      <w:r>
        <w:t xml:space="preserve">“Urticaria and Angioedema”</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t xml:space="preserve">Bolotte R,</w:t>
      </w:r>
      <w:r>
        <w:t xml:space="preserve"> </w:t>
      </w:r>
      <w:r>
        <w:rPr>
          <w:b/>
          <w:bCs/>
        </w:rPr>
        <w:t xml:space="preserve">Krantz MS</w:t>
      </w:r>
      <w:r>
        <w:t xml:space="preserve">, Stone CA. (2021)</w:t>
      </w:r>
      <w:r>
        <w:t xml:space="preserve"> </w:t>
      </w:r>
      <w:r>
        <w:t xml:space="preserve">“Drug Allergy (Immediate Hypersensitivity Reactions)”</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t xml:space="preserve">Bolotte R,</w:t>
      </w:r>
      <w:r>
        <w:t xml:space="preserve"> </w:t>
      </w:r>
      <w:r>
        <w:rPr>
          <w:b/>
          <w:bCs/>
        </w:rPr>
        <w:t xml:space="preserve">Krantz MS</w:t>
      </w:r>
      <w:r>
        <w:t xml:space="preserve">, Stone CA. (2021)</w:t>
      </w:r>
      <w:r>
        <w:t xml:space="preserve"> </w:t>
      </w:r>
      <w:r>
        <w:t xml:space="preserve">“Drug Allergy (Delayed Hypersensitivity Reactions)”</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t xml:space="preserve">Minaldi EL,</w:t>
      </w:r>
      <w:r>
        <w:t xml:space="preserve"> </w:t>
      </w:r>
      <w:r>
        <w:rPr>
          <w:b/>
          <w:bCs/>
        </w:rPr>
        <w:t xml:space="preserve">Krantz MS</w:t>
      </w:r>
      <w:r>
        <w:t xml:space="preserve">, Khan YW. (2021)</w:t>
      </w:r>
      <w:r>
        <w:t xml:space="preserve"> </w:t>
      </w:r>
      <w:r>
        <w:t xml:space="preserve">“Recurrent Infections in Children”</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rPr>
          <w:b/>
          <w:bCs/>
        </w:rPr>
        <w:t xml:space="preserve">Krantz MS</w:t>
      </w:r>
      <w:r>
        <w:t xml:space="preserve">, Miller MS. (2018)</w:t>
      </w:r>
      <w:r>
        <w:t xml:space="preserve"> </w:t>
      </w:r>
      <w:r>
        <w:t xml:space="preserve">“Atopic Dermatitis”</w:t>
      </w:r>
      <w:r>
        <w:t xml:space="preserve"> </w:t>
      </w:r>
      <w:r>
        <w:t xml:space="preserve">in El-Sourady M (ed.)</w:t>
      </w:r>
      <w:r>
        <w:t xml:space="preserve"> </w:t>
      </w:r>
      <w:r>
        <w:rPr>
          <w:i/>
          <w:iCs/>
        </w:rPr>
        <w:t xml:space="preserve">Vanderbilt Internal Medicine and Pediatrics Curriculum</w:t>
      </w:r>
      <w:r>
        <w:t xml:space="preserve">. New York: McGraw Hill Access Medicine.</w:t>
      </w:r>
    </w:p>
    <w:p>
      <w:pPr>
        <w:pStyle w:val="Compact"/>
        <w:numPr>
          <w:ilvl w:val="0"/>
          <w:numId w:val="1018"/>
        </w:numPr>
      </w:pPr>
      <w:r>
        <w:rPr>
          <w:b/>
          <w:bCs/>
        </w:rPr>
        <w:t xml:space="preserve">Krantz MS</w:t>
      </w:r>
      <w:r>
        <w:t xml:space="preserve">, Miller MS. (2018)</w:t>
      </w:r>
      <w:r>
        <w:t xml:space="preserve"> </w:t>
      </w:r>
      <w:r>
        <w:t xml:space="preserve">“Food Allergies”</w:t>
      </w:r>
      <w:r>
        <w:t xml:space="preserve"> </w:t>
      </w:r>
      <w:r>
        <w:t xml:space="preserve">in El-Sourady M (ed.)</w:t>
      </w:r>
      <w:r>
        <w:t xml:space="preserve"> </w:t>
      </w:r>
      <w:r>
        <w:rPr>
          <w:i/>
          <w:iCs/>
        </w:rPr>
        <w:t xml:space="preserve">Vanderbilt Internal Medicine and Pediatrics Curriculum</w:t>
      </w:r>
      <w:r>
        <w:t xml:space="preserve">. New York: McGraw Hill Access Medicine.</w:t>
      </w:r>
    </w:p>
    <w:bookmarkEnd w:id="87"/>
    <w:bookmarkStart w:id="91" w:name="graphic-medicine"/>
    <w:p>
      <w:pPr>
        <w:pStyle w:val="Heading2"/>
      </w:pPr>
      <w:r>
        <w:t xml:space="preserve">Graphic Medicine</w:t>
      </w:r>
    </w:p>
    <w:p>
      <w:pPr>
        <w:pStyle w:val="Compact"/>
        <w:numPr>
          <w:ilvl w:val="0"/>
          <w:numId w:val="1019"/>
        </w:numPr>
      </w:pPr>
      <w:r>
        <w:rPr>
          <w:b/>
          <w:bCs/>
        </w:rPr>
        <w:t xml:space="preserve">Krantz MS</w:t>
      </w:r>
      <w:r>
        <w:t xml:space="preserve">. Annals Graphic Medicine - The Physical Exam.</w:t>
      </w:r>
      <w:r>
        <w:t xml:space="preserve"> </w:t>
      </w:r>
      <w:r>
        <w:rPr>
          <w:i/>
          <w:iCs/>
        </w:rPr>
        <w:t xml:space="preserve">Ann Intern Med</w:t>
      </w:r>
      <w:r>
        <w:t xml:space="preserve">. 2020 Sep;173(5):W84-W85. DOI:</w:t>
      </w:r>
      <w:r>
        <w:t xml:space="preserve"> </w:t>
      </w:r>
      <w:hyperlink r:id="rId88">
        <w:r>
          <w:rPr>
            <w:rStyle w:val="Hyperlink"/>
          </w:rPr>
          <w:t xml:space="preserve">10.7326/G20-0002</w:t>
        </w:r>
      </w:hyperlink>
      <w:r>
        <w:t xml:space="preserve">. PMID: 32833490; PMCID: NA.</w:t>
      </w:r>
    </w:p>
    <w:p>
      <w:pPr>
        <w:pStyle w:val="Compact"/>
        <w:numPr>
          <w:ilvl w:val="0"/>
          <w:numId w:val="1019"/>
        </w:numPr>
      </w:pPr>
      <w:r>
        <w:rPr>
          <w:b/>
          <w:bCs/>
        </w:rPr>
        <w:t xml:space="preserve">Krantz MS</w:t>
      </w:r>
      <w:r>
        <w:t xml:space="preserve">. Annals Graphic Medicine - Comparing Resident Noon Conference Attendance by Quality of Speaker Versus Quality of Food.</w:t>
      </w:r>
      <w:r>
        <w:t xml:space="preserve"> </w:t>
      </w:r>
      <w:r>
        <w:rPr>
          <w:i/>
          <w:iCs/>
        </w:rPr>
        <w:t xml:space="preserve">Ann Intern Med</w:t>
      </w:r>
      <w:r>
        <w:t xml:space="preserve">. 2020 Jun;172(12):W155-W156. DOI:</w:t>
      </w:r>
      <w:r>
        <w:t xml:space="preserve"> </w:t>
      </w:r>
      <w:hyperlink r:id="rId89">
        <w:r>
          <w:rPr>
            <w:rStyle w:val="Hyperlink"/>
          </w:rPr>
          <w:t xml:space="preserve">10.7326/G19-0071</w:t>
        </w:r>
      </w:hyperlink>
      <w:r>
        <w:t xml:space="preserve">. PMID: 32539519; PMCID: NA.</w:t>
      </w:r>
    </w:p>
    <w:p>
      <w:pPr>
        <w:pStyle w:val="Compact"/>
        <w:numPr>
          <w:ilvl w:val="0"/>
          <w:numId w:val="1019"/>
        </w:numPr>
      </w:pPr>
      <w:r>
        <w:rPr>
          <w:b/>
          <w:bCs/>
        </w:rPr>
        <w:t xml:space="preserve">Krantz MS</w:t>
      </w:r>
      <w:r>
        <w:t xml:space="preserve">. Annals Graphic Medicine - Masked Facies.</w:t>
      </w:r>
      <w:r>
        <w:t xml:space="preserve"> </w:t>
      </w:r>
      <w:r>
        <w:rPr>
          <w:i/>
          <w:iCs/>
        </w:rPr>
        <w:t xml:space="preserve">Ann Intern Med</w:t>
      </w:r>
      <w:r>
        <w:t xml:space="preserve">. 2020 Jul;173(1):W12-W13. DOI:</w:t>
      </w:r>
      <w:r>
        <w:t xml:space="preserve"> </w:t>
      </w:r>
      <w:hyperlink r:id="rId90">
        <w:r>
          <w:rPr>
            <w:rStyle w:val="Hyperlink"/>
          </w:rPr>
          <w:t xml:space="preserve">10.7326/G20-0052</w:t>
        </w:r>
      </w:hyperlink>
      <w:r>
        <w:t xml:space="preserve">. PMID: 32479167; PMCID: NA.</w:t>
      </w:r>
    </w:p>
    <w:bookmarkEnd w:id="91"/>
    <w:bookmarkStart w:id="96" w:name="media"/>
    <w:p>
      <w:pPr>
        <w:pStyle w:val="Heading2"/>
      </w:pPr>
      <w:r>
        <w:t xml:space="preserve">Media</w:t>
      </w:r>
    </w:p>
    <w:p>
      <w:pPr>
        <w:pStyle w:val="Compact"/>
        <w:numPr>
          <w:ilvl w:val="0"/>
          <w:numId w:val="1020"/>
        </w:numPr>
      </w:pPr>
      <w:r>
        <w:t xml:space="preserve">7/30/21,</w:t>
      </w:r>
      <w:r>
        <w:t xml:space="preserve"> </w:t>
      </w:r>
      <w:r>
        <w:rPr>
          <w:b/>
          <w:bCs/>
        </w:rPr>
        <w:t xml:space="preserve">HCP Live</w:t>
      </w:r>
      <w:r>
        <w:t xml:space="preserve">: Study featured in video interview</w:t>
      </w:r>
      <w:r>
        <w:t xml:space="preserve"> </w:t>
      </w:r>
      <w:hyperlink r:id="rId92">
        <w:r>
          <w:rPr>
            <w:rStyle w:val="Hyperlink"/>
          </w:rPr>
          <w:t xml:space="preserve">“Study Shows Improved Tolerance with Second COVID-19 Vaccine”</w:t>
        </w:r>
      </w:hyperlink>
      <w:r>
        <w:t xml:space="preserve">.</w:t>
      </w:r>
    </w:p>
    <w:p>
      <w:pPr>
        <w:pStyle w:val="Compact"/>
        <w:numPr>
          <w:ilvl w:val="0"/>
          <w:numId w:val="1020"/>
        </w:numPr>
      </w:pPr>
      <w:r>
        <w:t xml:space="preserve">7/16/25,</w:t>
      </w:r>
      <w:r>
        <w:t xml:space="preserve"> </w:t>
      </w:r>
      <w:r>
        <w:rPr>
          <w:b/>
          <w:bCs/>
        </w:rPr>
        <w:t xml:space="preserve">DRESS Syndrome Foundation</w:t>
      </w:r>
      <w:r>
        <w:t xml:space="preserve">: Research featured in video presentation,</w:t>
      </w:r>
      <w:r>
        <w:t xml:space="preserve"> </w:t>
      </w:r>
      <w:hyperlink r:id="rId93">
        <w:r>
          <w:rPr>
            <w:rStyle w:val="Hyperlink"/>
          </w:rPr>
          <w:t xml:space="preserve">“Making Medications Safer Using Electronic Health Records”</w:t>
        </w:r>
        <w:r>
          <w:rPr>
            <w:rStyle w:val="Hyperlink"/>
          </w:rPr>
          <w:t xml:space="preserve"> </w:t>
        </w:r>
        <w:r>
          <w:rPr>
            <w:rStyle w:val="Hyperlink"/>
          </w:rPr>
          <w:t xml:space="preserve">for National DRESS Syndrome Day 2025</w:t>
        </w:r>
      </w:hyperlink>
      <w:r>
        <w:t xml:space="preserve">.</w:t>
      </w:r>
    </w:p>
    <w:p>
      <w:pPr>
        <w:pStyle w:val="Compact"/>
        <w:numPr>
          <w:ilvl w:val="0"/>
          <w:numId w:val="1020"/>
        </w:numPr>
      </w:pPr>
      <w:r>
        <w:t xml:space="preserve">2/28/26,</w:t>
      </w:r>
      <w:r>
        <w:t xml:space="preserve"> </w:t>
      </w:r>
      <w:r>
        <w:rPr>
          <w:b/>
          <w:bCs/>
        </w:rPr>
        <w:t xml:space="preserve">HCP Live</w:t>
      </w:r>
      <w:r>
        <w:t xml:space="preserve">: Research featured in video interview</w:t>
      </w:r>
      <w:hyperlink r:id="rId94">
        <w:r>
          <w:rPr>
            <w:rStyle w:val="Hyperlink"/>
          </w:rPr>
          <w:t xml:space="preserve">“HLA-A*32:01 Linked to Lamotrigine DRESS Risk”</w:t>
        </w:r>
      </w:hyperlink>
      <w:r>
        <w:t xml:space="preserve">.</w:t>
      </w:r>
    </w:p>
    <w:p>
      <w:pPr>
        <w:pStyle w:val="Compact"/>
        <w:numPr>
          <w:ilvl w:val="0"/>
          <w:numId w:val="1020"/>
        </w:numPr>
      </w:pPr>
      <w:r>
        <w:t xml:space="preserve">2/20/20,</w:t>
      </w:r>
      <w:r>
        <w:t xml:space="preserve"> </w:t>
      </w:r>
      <w:r>
        <w:rPr>
          <w:b/>
          <w:bCs/>
        </w:rPr>
        <w:t xml:space="preserve">Practice Matters</w:t>
      </w:r>
      <w:r>
        <w:t xml:space="preserve">: Study featured in article</w:t>
      </w:r>
      <w:r>
        <w:t xml:space="preserve"> </w:t>
      </w:r>
      <w:hyperlink r:id="rId95">
        <w:r>
          <w:rPr>
            <w:rStyle w:val="Hyperlink"/>
          </w:rPr>
          <w:t xml:space="preserve">“Oral Challenge with Trimethoprim-Sulfamethoxazole in Patients with “Sulfa” Allergy”</w:t>
        </w:r>
      </w:hyperlink>
      <w:r>
        <w:t xml:space="preserve">.</w:t>
      </w:r>
    </w:p>
    <w:bookmarkEnd w:id="96"/>
    <w:bookmarkStart w:id="98" w:name="presentations-at-scientific-meetings"/>
    <w:p>
      <w:pPr>
        <w:pStyle w:val="Heading2"/>
      </w:pPr>
      <w:r>
        <w:t xml:space="preserve">Presentations at Scientific Meetings</w:t>
      </w:r>
    </w:p>
    <w:bookmarkStart w:id="97" w:name="invited-speaker"/>
    <w:p>
      <w:pPr>
        <w:pStyle w:val="Heading3"/>
      </w:pPr>
      <w:r>
        <w:t xml:space="preserve">Invited Speaker</w:t>
      </w:r>
    </w:p>
    <w:p>
      <w:pPr>
        <w:pStyle w:val="Compact"/>
        <w:numPr>
          <w:ilvl w:val="0"/>
          <w:numId w:val="1021"/>
        </w:numPr>
      </w:pPr>
      <w:r>
        <w:t xml:space="preserve">“Electronic Health Record Phenotyping of SCAR ”</w:t>
      </w:r>
      <w:r>
        <w:t xml:space="preserve">. SCAR 2025 Mini Symposium. Online. Aug 09, 2025</w:t>
      </w:r>
    </w:p>
    <w:p>
      <w:pPr>
        <w:pStyle w:val="Compact"/>
        <w:numPr>
          <w:ilvl w:val="0"/>
          <w:numId w:val="1021"/>
        </w:numPr>
      </w:pPr>
      <w:r>
        <w:t xml:space="preserve">“Large language models for EHR-based computable phenotyping of drug reactions”</w:t>
      </w:r>
      <w:r>
        <w:t xml:space="preserve">. Vanderbilt Division of Allergy, Pulmonary, and Crtical Care Grand Rounds. Nashville, TN, USA. May 08, 2026</w:t>
      </w:r>
    </w:p>
    <w:p>
      <w:pPr>
        <w:pStyle w:val="Compact"/>
        <w:numPr>
          <w:ilvl w:val="0"/>
          <w:numId w:val="1021"/>
        </w:numPr>
      </w:pPr>
      <w:r>
        <w:t xml:space="preserve">“Finding and Defining DRESS in the EHR”</w:t>
      </w:r>
      <w:r>
        <w:t xml:space="preserve">. SCAR 2026. Nashville, TN, USA. May 18, 2026</w:t>
      </w:r>
    </w:p>
    <w:p>
      <w:pPr>
        <w:pStyle w:val="Compact"/>
        <w:numPr>
          <w:ilvl w:val="0"/>
          <w:numId w:val="1021"/>
        </w:numPr>
      </w:pPr>
      <w:r>
        <w:t xml:space="preserve">“Current State of Delayed Hypersensitivity Reactions to Medications (IDT, Patch Testing, In Vitro Testing)”</w:t>
      </w:r>
      <w:r>
        <w:t xml:space="preserve">. AAAAI 2026. Philadephia, PA, USA. Mar 02, 2026</w:t>
      </w:r>
    </w:p>
    <w:p>
      <w:pPr>
        <w:pStyle w:val="Compact"/>
        <w:numPr>
          <w:ilvl w:val="0"/>
          <w:numId w:val="1021"/>
        </w:numPr>
      </w:pPr>
      <w:r>
        <w:t xml:space="preserve">“Drug Hypersensitivity Reactions to Antigout Therapies”</w:t>
      </w:r>
      <w:r>
        <w:t xml:space="preserve">. Vandberbilt Division of Rheumatology Grand Rounds. Nashville, TN, USA. Oct 09, 2025</w:t>
      </w:r>
    </w:p>
    <w:bookmarkEnd w:id="97"/>
    <w:bookmarkEnd w:id="98"/>
    <w:bookmarkEnd w:id="99"/>
    <w:sectPr w:rsidR="00FC592C" w:rsidRPr="0046096A">
      <w:footerReference r:id="rId8"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36342" w14:textId="1EEC8175" w:rsidR="00936BD6" w:rsidRPr="00936BD6" w:rsidRDefault="00936BD6">
    <w:pPr>
      <w:pStyle w:val="Footer"/>
      <w:rPr>
        <w:rFonts w:ascii="Arial" w:hAnsi="Arial" w:cs="Arial"/>
        <w:sz w:val="18"/>
        <w:szCs w:val="18"/>
      </w:rPr>
    </w:pPr>
    <w:r>
      <w:rPr>
        <w:rFonts w:ascii="Arial" w:hAnsi="Arial" w:cs="Arial"/>
        <w:sz w:val="18"/>
        <w:szCs w:val="18"/>
      </w:rPr>
      <w:tab/>
    </w:r>
    <w:r>
      <w:rPr>
        <w:rFonts w:ascii="Arial" w:hAnsi="Arial" w:cs="Arial"/>
        <w:sz w:val="18"/>
        <w:szCs w:val="18"/>
      </w:rPr>
      <w:tab/>
    </w:r>
    <w:r w:rsidR="00013C63">
      <w:rPr>
        <w:rFonts w:ascii="Arial" w:hAnsi="Arial" w:cs="Arial"/>
        <w:sz w:val="18"/>
        <w:szCs w:val="18"/>
      </w:rPr>
      <w:t>8/2022</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876496D"/>
    <w:multiLevelType w:val="multilevel"/>
    <w:tmpl w:val="1DB4E3C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1AE735A"/>
    <w:multiLevelType w:val="multilevel"/>
    <w:tmpl w:val="0F7695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7BB24A0"/>
    <w:multiLevelType w:val="multilevel"/>
    <w:tmpl w:val="B3A42A5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21167222"/>
    <w:multiLevelType w:val="multilevel"/>
    <w:tmpl w:val="90A8ED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3983AD6"/>
    <w:multiLevelType w:val="multilevel"/>
    <w:tmpl w:val="DF7C3C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23012BC"/>
    <w:multiLevelType w:val="multilevel"/>
    <w:tmpl w:val="CE820A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4C7D14A1"/>
    <w:multiLevelType w:val="multilevel"/>
    <w:tmpl w:val="32AA20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53540F2C"/>
    <w:multiLevelType w:val="multilevel"/>
    <w:tmpl w:val="6DA6D9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B144C3A"/>
    <w:multiLevelType w:val="multilevel"/>
    <w:tmpl w:val="215655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690523CC"/>
    <w:multiLevelType w:val="multilevel"/>
    <w:tmpl w:val="243438B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67041519" w:numId="1">
    <w:abstractNumId w:val="9"/>
  </w:num>
  <w:num w16cid:durableId="1260679352" w:numId="2">
    <w:abstractNumId w:val="0"/>
  </w:num>
  <w:num w16cid:durableId="1883982513" w:numId="3">
    <w:abstractNumId w:val="4"/>
  </w:num>
  <w:num w16cid:durableId="1227496250" w:numId="4">
    <w:abstractNumId w:val="7"/>
  </w:num>
  <w:num w16cid:durableId="407964136" w:numId="5">
    <w:abstractNumId w:val="5"/>
  </w:num>
  <w:num w16cid:durableId="1200119709" w:numId="6">
    <w:abstractNumId w:val="1"/>
  </w:num>
  <w:num w16cid:durableId="824589934" w:numId="7">
    <w:abstractNumId w:val="6"/>
  </w:num>
  <w:num w16cid:durableId="1281299133" w:numId="8">
    <w:abstractNumId w:val="8"/>
  </w:num>
  <w:num w16cid:durableId="534774621" w:numId="9">
    <w:abstractNumId w:val="3"/>
  </w:num>
  <w:num w16cid:durableId="1015890043" w:numId="10">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val="bestFit"/>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95"/>
    <w:rsid w:val="00013C63"/>
    <w:rsid w:val="00043245"/>
    <w:rsid w:val="00053BED"/>
    <w:rsid w:val="00083E99"/>
    <w:rsid w:val="00191FC2"/>
    <w:rsid w:val="0019445A"/>
    <w:rsid w:val="001E1B2D"/>
    <w:rsid w:val="00256B0C"/>
    <w:rsid w:val="00260C50"/>
    <w:rsid w:val="00305B95"/>
    <w:rsid w:val="003C2B0B"/>
    <w:rsid w:val="0046096A"/>
    <w:rsid w:val="004E13DC"/>
    <w:rsid w:val="00574E45"/>
    <w:rsid w:val="005E2729"/>
    <w:rsid w:val="006162B8"/>
    <w:rsid w:val="006564A6"/>
    <w:rsid w:val="00726423"/>
    <w:rsid w:val="008D5E4C"/>
    <w:rsid w:val="00936BD6"/>
    <w:rsid w:val="00963C9F"/>
    <w:rsid w:val="009E2716"/>
    <w:rsid w:val="009F18F7"/>
    <w:rsid w:val="00A179DB"/>
    <w:rsid w:val="00AB3338"/>
    <w:rsid w:val="00C404BC"/>
    <w:rsid w:val="00C42E8F"/>
    <w:rsid w:val="00CC2974"/>
    <w:rsid w:val="00CC307E"/>
    <w:rsid w:val="00DC4D50"/>
    <w:rsid w:val="00E30875"/>
    <w:rsid w:val="00F459EC"/>
    <w:rsid w:val="00F72C89"/>
    <w:rsid w:val="00FC592C"/>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05B95"/>
    <w:pPr>
      <w:spacing w:after="0" w:line="240" w:lineRule="auto"/>
    </w:pPr>
    <w:rPr>
      <w:rFonts w:eastAsiaTheme="minorEastAsia"/>
      <w:sz w:val="24"/>
      <w:szCs w:val="24"/>
    </w:rPr>
  </w:style>
  <w:style w:styleId="Heading1" w:type="paragraph">
    <w:name w:val="heading 1"/>
    <w:basedOn w:val="Normal"/>
    <w:next w:val="Normal"/>
    <w:link w:val="Heading1Char"/>
    <w:uiPriority w:val="9"/>
    <w:qFormat/>
    <w:rsid w:val="003C2B0B"/>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semiHidden/>
    <w:unhideWhenUsed/>
    <w:qFormat/>
    <w:rsid w:val="003C2B0B"/>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semiHidden/>
    <w:unhideWhenUsed/>
    <w:qFormat/>
    <w:rsid w:val="003C2B0B"/>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3C2B0B"/>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3C2B0B"/>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3C2B0B"/>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3C2B0B"/>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3C2B0B"/>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3C2B0B"/>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C2B0B"/>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semiHidden/>
    <w:rsid w:val="003C2B0B"/>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semiHidden/>
    <w:rsid w:val="003C2B0B"/>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semiHidden/>
    <w:rsid w:val="003C2B0B"/>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3C2B0B"/>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3C2B0B"/>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3C2B0B"/>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3C2B0B"/>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3C2B0B"/>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3C2B0B"/>
    <w:rPr>
      <w:b/>
      <w:bCs/>
      <w:color w:themeColor="accent1" w:val="4F81BD"/>
      <w:sz w:val="18"/>
      <w:szCs w:val="18"/>
    </w:rPr>
  </w:style>
  <w:style w:styleId="Title" w:type="paragraph">
    <w:name w:val="Title"/>
    <w:basedOn w:val="Normal"/>
    <w:next w:val="Normal"/>
    <w:link w:val="TitleChar"/>
    <w:uiPriority w:val="10"/>
    <w:qFormat/>
    <w:rsid w:val="003C2B0B"/>
    <w:pPr>
      <w:pBdr>
        <w:bottom w:color="4F81BD" w:space="4" w:sz="8" w:themeColor="accent1" w:val="single"/>
      </w:pBdr>
      <w:spacing w:after="300"/>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3C2B0B"/>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3C2B0B"/>
    <w:pPr>
      <w:numPr>
        <w:ilvl w:val="1"/>
      </w:numPr>
    </w:pPr>
    <w:rPr>
      <w:rFonts w:asciiTheme="majorHAnsi" w:cstheme="majorBidi" w:eastAsiaTheme="majorEastAsia" w:hAnsiTheme="majorHAnsi"/>
      <w:i/>
      <w:iCs/>
      <w:color w:themeColor="accent1" w:val="4F81BD"/>
      <w:spacing w:val="15"/>
    </w:rPr>
  </w:style>
  <w:style w:customStyle="1" w:styleId="SubtitleChar" w:type="character">
    <w:name w:val="Subtitle Char"/>
    <w:basedOn w:val="DefaultParagraphFont"/>
    <w:link w:val="Subtitle"/>
    <w:uiPriority w:val="11"/>
    <w:rsid w:val="003C2B0B"/>
    <w:rPr>
      <w:rFonts w:asciiTheme="majorHAnsi" w:cstheme="majorBidi" w:eastAsiaTheme="majorEastAsia" w:hAnsiTheme="majorHAnsi"/>
      <w:i/>
      <w:iCs/>
      <w:color w:themeColor="accent1" w:val="4F81BD"/>
      <w:spacing w:val="15"/>
      <w:sz w:val="24"/>
      <w:szCs w:val="24"/>
    </w:rPr>
  </w:style>
  <w:style w:styleId="Strong" w:type="character">
    <w:name w:val="Strong"/>
    <w:basedOn w:val="DefaultParagraphFont"/>
    <w:uiPriority w:val="22"/>
    <w:qFormat/>
    <w:rsid w:val="003C2B0B"/>
    <w:rPr>
      <w:b/>
      <w:bCs/>
    </w:rPr>
  </w:style>
  <w:style w:styleId="Emphasis" w:type="character">
    <w:name w:val="Emphasis"/>
    <w:basedOn w:val="DefaultParagraphFont"/>
    <w:uiPriority w:val="20"/>
    <w:qFormat/>
    <w:rsid w:val="003C2B0B"/>
    <w:rPr>
      <w:i/>
      <w:iCs/>
    </w:rPr>
  </w:style>
  <w:style w:styleId="NoSpacing" w:type="paragraph">
    <w:name w:val="No Spacing"/>
    <w:uiPriority w:val="1"/>
    <w:qFormat/>
    <w:rsid w:val="003C2B0B"/>
    <w:pPr>
      <w:spacing w:after="0" w:line="240" w:lineRule="auto"/>
    </w:pPr>
  </w:style>
  <w:style w:styleId="ListParagraph" w:type="paragraph">
    <w:name w:val="List Paragraph"/>
    <w:basedOn w:val="Normal"/>
    <w:uiPriority w:val="34"/>
    <w:qFormat/>
    <w:rsid w:val="003C2B0B"/>
    <w:pPr>
      <w:ind w:left="720"/>
      <w:contextualSpacing/>
    </w:pPr>
  </w:style>
  <w:style w:styleId="Quote" w:type="paragraph">
    <w:name w:val="Quote"/>
    <w:basedOn w:val="Normal"/>
    <w:next w:val="Normal"/>
    <w:link w:val="QuoteChar"/>
    <w:uiPriority w:val="29"/>
    <w:qFormat/>
    <w:rsid w:val="003C2B0B"/>
    <w:rPr>
      <w:i/>
      <w:iCs/>
      <w:color w:themeColor="text1" w:val="000000"/>
    </w:rPr>
  </w:style>
  <w:style w:customStyle="1" w:styleId="QuoteChar" w:type="character">
    <w:name w:val="Quote Char"/>
    <w:basedOn w:val="DefaultParagraphFont"/>
    <w:link w:val="Quote"/>
    <w:uiPriority w:val="29"/>
    <w:rsid w:val="003C2B0B"/>
    <w:rPr>
      <w:i/>
      <w:iCs/>
      <w:color w:themeColor="text1" w:val="000000"/>
    </w:rPr>
  </w:style>
  <w:style w:styleId="IntenseQuote" w:type="paragraph">
    <w:name w:val="Intense Quote"/>
    <w:basedOn w:val="Normal"/>
    <w:next w:val="Normal"/>
    <w:link w:val="IntenseQuoteChar"/>
    <w:uiPriority w:val="30"/>
    <w:qFormat/>
    <w:rsid w:val="003C2B0B"/>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3C2B0B"/>
    <w:rPr>
      <w:b/>
      <w:bCs/>
      <w:i/>
      <w:iCs/>
      <w:color w:themeColor="accent1" w:val="4F81BD"/>
    </w:rPr>
  </w:style>
  <w:style w:styleId="SubtleEmphasis" w:type="character">
    <w:name w:val="Subtle Emphasis"/>
    <w:basedOn w:val="DefaultParagraphFont"/>
    <w:uiPriority w:val="19"/>
    <w:qFormat/>
    <w:rsid w:val="003C2B0B"/>
    <w:rPr>
      <w:i/>
      <w:iCs/>
      <w:color w:themeColor="text1" w:themeTint="7F" w:val="808080"/>
    </w:rPr>
  </w:style>
  <w:style w:styleId="IntenseEmphasis" w:type="character">
    <w:name w:val="Intense Emphasis"/>
    <w:basedOn w:val="DefaultParagraphFont"/>
    <w:uiPriority w:val="21"/>
    <w:qFormat/>
    <w:rsid w:val="003C2B0B"/>
    <w:rPr>
      <w:b/>
      <w:bCs/>
      <w:i/>
      <w:iCs/>
      <w:color w:themeColor="accent1" w:val="4F81BD"/>
    </w:rPr>
  </w:style>
  <w:style w:styleId="SubtleReference" w:type="character">
    <w:name w:val="Subtle Reference"/>
    <w:basedOn w:val="DefaultParagraphFont"/>
    <w:uiPriority w:val="31"/>
    <w:qFormat/>
    <w:rsid w:val="003C2B0B"/>
    <w:rPr>
      <w:smallCaps/>
      <w:color w:themeColor="accent2" w:val="C0504D"/>
      <w:u w:val="single"/>
    </w:rPr>
  </w:style>
  <w:style w:styleId="IntenseReference" w:type="character">
    <w:name w:val="Intense Reference"/>
    <w:basedOn w:val="DefaultParagraphFont"/>
    <w:uiPriority w:val="32"/>
    <w:qFormat/>
    <w:rsid w:val="003C2B0B"/>
    <w:rPr>
      <w:b/>
      <w:bCs/>
      <w:smallCaps/>
      <w:color w:themeColor="accent2" w:val="C0504D"/>
      <w:spacing w:val="5"/>
      <w:u w:val="single"/>
    </w:rPr>
  </w:style>
  <w:style w:styleId="BookTitle" w:type="character">
    <w:name w:val="Book Title"/>
    <w:basedOn w:val="DefaultParagraphFont"/>
    <w:uiPriority w:val="33"/>
    <w:qFormat/>
    <w:rsid w:val="003C2B0B"/>
    <w:rPr>
      <w:b/>
      <w:bCs/>
      <w:smallCaps/>
      <w:spacing w:val="5"/>
    </w:rPr>
  </w:style>
  <w:style w:styleId="TOCHeading" w:type="paragraph">
    <w:name w:val="TOC Heading"/>
    <w:basedOn w:val="Heading1"/>
    <w:next w:val="Normal"/>
    <w:uiPriority w:val="39"/>
    <w:semiHidden/>
    <w:unhideWhenUsed/>
    <w:qFormat/>
    <w:rsid w:val="003C2B0B"/>
    <w:pPr>
      <w:outlineLvl w:val="9"/>
    </w:pPr>
  </w:style>
  <w:style w:styleId="Header" w:type="paragraph">
    <w:name w:val="header"/>
    <w:basedOn w:val="Normal"/>
    <w:link w:val="HeaderChar"/>
    <w:uiPriority w:val="99"/>
    <w:unhideWhenUsed/>
    <w:rsid w:val="00936BD6"/>
    <w:pPr>
      <w:tabs>
        <w:tab w:pos="4320" w:val="center"/>
        <w:tab w:pos="8640" w:val="right"/>
      </w:tabs>
    </w:pPr>
  </w:style>
  <w:style w:customStyle="1" w:styleId="HeaderChar" w:type="character">
    <w:name w:val="Header Char"/>
    <w:basedOn w:val="DefaultParagraphFont"/>
    <w:link w:val="Header"/>
    <w:uiPriority w:val="99"/>
    <w:rsid w:val="00936BD6"/>
    <w:rPr>
      <w:rFonts w:eastAsiaTheme="minorEastAsia"/>
      <w:sz w:val="24"/>
      <w:szCs w:val="24"/>
    </w:rPr>
  </w:style>
  <w:style w:styleId="Footer" w:type="paragraph">
    <w:name w:val="footer"/>
    <w:basedOn w:val="Normal"/>
    <w:link w:val="FooterChar"/>
    <w:uiPriority w:val="99"/>
    <w:unhideWhenUsed/>
    <w:rsid w:val="00936BD6"/>
    <w:pPr>
      <w:tabs>
        <w:tab w:pos="4320" w:val="center"/>
        <w:tab w:pos="8640" w:val="right"/>
      </w:tabs>
    </w:pPr>
  </w:style>
  <w:style w:customStyle="1" w:styleId="FooterChar" w:type="character">
    <w:name w:val="Footer Char"/>
    <w:basedOn w:val="DefaultParagraphFont"/>
    <w:link w:val="Footer"/>
    <w:uiPriority w:val="99"/>
    <w:rsid w:val="00936BD6"/>
    <w:rPr>
      <w:rFonts w:eastAsiaTheme="minorEastAsia"/>
      <w:sz w:val="24"/>
      <w:szCs w:val="24"/>
    </w:rPr>
  </w:style>
  <w:style w:styleId="CommentReference" w:type="character">
    <w:name w:val="annotation reference"/>
    <w:basedOn w:val="DefaultParagraphFont"/>
    <w:uiPriority w:val="99"/>
    <w:semiHidden/>
    <w:unhideWhenUsed/>
    <w:rsid w:val="00013C63"/>
    <w:rPr>
      <w:sz w:val="16"/>
      <w:szCs w:val="16"/>
    </w:rPr>
  </w:style>
  <w:style w:styleId="CommentText" w:type="paragraph">
    <w:name w:val="annotation text"/>
    <w:basedOn w:val="Normal"/>
    <w:link w:val="CommentTextChar"/>
    <w:uiPriority w:val="99"/>
    <w:semiHidden/>
    <w:unhideWhenUsed/>
    <w:rsid w:val="00013C63"/>
    <w:rPr>
      <w:sz w:val="20"/>
      <w:szCs w:val="20"/>
    </w:rPr>
  </w:style>
  <w:style w:customStyle="1" w:styleId="CommentTextChar" w:type="character">
    <w:name w:val="Comment Text Char"/>
    <w:basedOn w:val="DefaultParagraphFont"/>
    <w:link w:val="CommentText"/>
    <w:uiPriority w:val="99"/>
    <w:semiHidden/>
    <w:rsid w:val="00013C63"/>
    <w:rPr>
      <w:rFonts w:eastAsiaTheme="minorEastAsia"/>
      <w:sz w:val="20"/>
      <w:szCs w:val="20"/>
    </w:rPr>
  </w:style>
  <w:style w:styleId="CommentSubject" w:type="paragraph">
    <w:name w:val="annotation subject"/>
    <w:basedOn w:val="CommentText"/>
    <w:next w:val="CommentText"/>
    <w:link w:val="CommentSubjectChar"/>
    <w:uiPriority w:val="99"/>
    <w:semiHidden/>
    <w:unhideWhenUsed/>
    <w:rsid w:val="00013C63"/>
    <w:rPr>
      <w:b/>
      <w:bCs/>
    </w:rPr>
  </w:style>
  <w:style w:customStyle="1" w:styleId="CommentSubjectChar" w:type="character">
    <w:name w:val="Comment Subject Char"/>
    <w:basedOn w:val="CommentTextChar"/>
    <w:link w:val="CommentSubject"/>
    <w:uiPriority w:val="99"/>
    <w:semiHidden/>
    <w:rsid w:val="00013C63"/>
    <w:rPr>
      <w:rFonts w:eastAsiaTheme="minorEastAsia"/>
      <w:b/>
      <w:bCs/>
      <w:sz w:val="20"/>
      <w:szCs w:val="20"/>
    </w:rPr>
  </w:style>
  <w:style w:styleId="Revision" w:type="paragraph">
    <w:name w:val="Revision"/>
    <w:hidden/>
    <w:uiPriority w:val="99"/>
    <w:semiHidden/>
    <w:rsid w:val="00013C63"/>
    <w:pPr>
      <w:spacing w:after="0" w:line="240" w:lineRule="auto"/>
    </w:pPr>
    <w:rPr>
      <w:rFonts w:eastAsiaTheme="minorEastAsia"/>
      <w:sz w:val="24"/>
      <w:szCs w:val="24"/>
    </w:rPr>
  </w:style>
  <w:style w:styleId="BalloonText" w:type="paragraph">
    <w:name w:val="Balloon Text"/>
    <w:basedOn w:val="Normal"/>
    <w:link w:val="BalloonTextChar"/>
    <w:uiPriority w:val="99"/>
    <w:semiHidden/>
    <w:unhideWhenUsed/>
    <w:rsid w:val="0019445A"/>
    <w:rPr>
      <w:rFonts w:ascii="Segoe UI" w:cs="Segoe UI" w:hAnsi="Segoe UI"/>
      <w:sz w:val="18"/>
      <w:szCs w:val="18"/>
    </w:rPr>
  </w:style>
  <w:style w:customStyle="1" w:styleId="BalloonTextChar" w:type="character">
    <w:name w:val="Balloon Text Char"/>
    <w:basedOn w:val="DefaultParagraphFont"/>
    <w:link w:val="BalloonText"/>
    <w:uiPriority w:val="99"/>
    <w:semiHidden/>
    <w:rsid w:val="0019445A"/>
    <w:rPr>
      <w:rFonts w:ascii="Segoe UI" w:cs="Segoe UI" w:eastAsiaTheme="minorEastAsia" w:hAnsi="Segoe UI"/>
      <w:sz w:val="18"/>
      <w:szCs w:val="1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hyperlink" Id="rId17" Target="http://krantzlab.org" TargetMode="External" /><Relationship Type="http://schemas.openxmlformats.org/officeDocument/2006/relationships/hyperlink" Id="rId68" Target="https://doi.org/10.1001/jamadermatol.2022.4519" TargetMode="External" /><Relationship Type="http://schemas.openxmlformats.org/officeDocument/2006/relationships/hyperlink" Id="rId41" Target="https://doi.org/10.1001/jamadermatol.2025.4240" TargetMode="External" /><Relationship Type="http://schemas.openxmlformats.org/officeDocument/2006/relationships/hyperlink" Id="rId58" Target="https://doi.org/10.1001/jamainternmed.2021.3779" TargetMode="External" /><Relationship Type="http://schemas.openxmlformats.org/officeDocument/2006/relationships/hyperlink" Id="rId56" Target="https://doi.org/10.1001/jamainternmed.2021.8515" TargetMode="External" /><Relationship Type="http://schemas.openxmlformats.org/officeDocument/2006/relationships/hyperlink" Id="rId53" Target="https://doi.org/10.1001/jamanetworkopen.2023.16776" TargetMode="External" /><Relationship Type="http://schemas.openxmlformats.org/officeDocument/2006/relationships/hyperlink" Id="rId40" Target="https://doi.org/10.1001/jamaoncol.2025.4349" TargetMode="External" /><Relationship Type="http://schemas.openxmlformats.org/officeDocument/2006/relationships/hyperlink" Id="rId76" Target="https://doi.org/10.1016/S1473-3099(22)00123-2" TargetMode="External" /><Relationship Type="http://schemas.openxmlformats.org/officeDocument/2006/relationships/hyperlink" Id="rId77" Target="https://doi.org/10.1016/j.amsu.2022.103388" TargetMode="External" /><Relationship Type="http://schemas.openxmlformats.org/officeDocument/2006/relationships/hyperlink" Id="rId84" Target="https://doi.org/10.1016/j.anai.2018.11.002" TargetMode="External" /><Relationship Type="http://schemas.openxmlformats.org/officeDocument/2006/relationships/hyperlink" Id="rId44" Target="https://doi.org/10.1016/j.anai.2025.07.023" TargetMode="External" /><Relationship Type="http://schemas.openxmlformats.org/officeDocument/2006/relationships/hyperlink" Id="rId39" Target="https://doi.org/10.1016/j.ebiom.2026.106227" TargetMode="External" /><Relationship Type="http://schemas.openxmlformats.org/officeDocument/2006/relationships/hyperlink" Id="rId71" Target="https://doi.org/10.1016/j.iac.2021.12.008" TargetMode="External" /><Relationship Type="http://schemas.openxmlformats.org/officeDocument/2006/relationships/hyperlink" Id="rId69" Target="https://doi.org/10.1016/j.jaci.2022.12.005" TargetMode="External" /><Relationship Type="http://schemas.openxmlformats.org/officeDocument/2006/relationships/hyperlink" Id="rId83" Target="https://doi.org/10.1016/j.jacig.2024.100337" TargetMode="External" /><Relationship Type="http://schemas.openxmlformats.org/officeDocument/2006/relationships/hyperlink" Id="rId50" Target="https://doi.org/10.1016/j.jacig.2025.100426" TargetMode="External" /><Relationship Type="http://schemas.openxmlformats.org/officeDocument/2006/relationships/hyperlink" Id="rId45" Target="https://doi.org/10.1016/j.jacig.2025.100543" TargetMode="External" /><Relationship Type="http://schemas.openxmlformats.org/officeDocument/2006/relationships/hyperlink" Id="rId65" Target="https://doi.org/10.1016/j.jaip.2018.12.003" TargetMode="External" /><Relationship Type="http://schemas.openxmlformats.org/officeDocument/2006/relationships/hyperlink" Id="rId64" Target="https://doi.org/10.1016/j.jaip.2019.07.003" TargetMode="External" /><Relationship Type="http://schemas.openxmlformats.org/officeDocument/2006/relationships/hyperlink" Id="rId63" Target="https://doi.org/10.1016/j.jaip.2019.12.041" TargetMode="External" /><Relationship Type="http://schemas.openxmlformats.org/officeDocument/2006/relationships/hyperlink" Id="rId62" Target="https://doi.org/10.1016/j.jaip.2020.09.017" TargetMode="External" /><Relationship Type="http://schemas.openxmlformats.org/officeDocument/2006/relationships/hyperlink" Id="rId61" Target="https://doi.org/10.1016/j.jaip.2020.09.021" TargetMode="External" /><Relationship Type="http://schemas.openxmlformats.org/officeDocument/2006/relationships/hyperlink" Id="rId72" Target="https://doi.org/10.1016/j.jaip.2021.03.002" TargetMode="External" /><Relationship Type="http://schemas.openxmlformats.org/officeDocument/2006/relationships/hyperlink" Id="rId59" Target="https://doi.org/10.1016/j.jaip.2021.07.010" TargetMode="External" /><Relationship Type="http://schemas.openxmlformats.org/officeDocument/2006/relationships/hyperlink" Id="rId78" Target="https://doi.org/10.1016/j.jaip.2021.07.027" TargetMode="External" /><Relationship Type="http://schemas.openxmlformats.org/officeDocument/2006/relationships/hyperlink" Id="rId57" Target="https://doi.org/10.1016/j.jaip.2021.12.025" TargetMode="External" /><Relationship Type="http://schemas.openxmlformats.org/officeDocument/2006/relationships/hyperlink" Id="rId70" Target="https://doi.org/10.1016/j.jaip.2022.04.016" TargetMode="External" /><Relationship Type="http://schemas.openxmlformats.org/officeDocument/2006/relationships/hyperlink" Id="rId55" Target="https://doi.org/10.1016/j.jaip.2022.08.048" TargetMode="External" /><Relationship Type="http://schemas.openxmlformats.org/officeDocument/2006/relationships/hyperlink" Id="rId48" Target="https://doi.org/10.1016/j.jaip.2025.05.027" TargetMode="External" /><Relationship Type="http://schemas.openxmlformats.org/officeDocument/2006/relationships/hyperlink" Id="rId46" Target="https://doi.org/10.1016/j.jaip.2025.05.054" TargetMode="External" /><Relationship Type="http://schemas.openxmlformats.org/officeDocument/2006/relationships/hyperlink" Id="rId43" Target="https://doi.org/10.1016/j.jaip.2025.08.001" TargetMode="External" /><Relationship Type="http://schemas.openxmlformats.org/officeDocument/2006/relationships/hyperlink" Id="rId73" Target="https://doi.org/10.1016/j.jaip.2026.02.029" TargetMode="External" /><Relationship Type="http://schemas.openxmlformats.org/officeDocument/2006/relationships/hyperlink" Id="rId75" Target="https://doi.org/10.1080/15265161.2022.2030590" TargetMode="External" /><Relationship Type="http://schemas.openxmlformats.org/officeDocument/2006/relationships/hyperlink" Id="rId51" Target="https://doi.org/10.1093/jamia/ocae072" TargetMode="External" /><Relationship Type="http://schemas.openxmlformats.org/officeDocument/2006/relationships/hyperlink" Id="rId47" Target="https://doi.org/10.1093/toxsci/kfaf074" TargetMode="External" /><Relationship Type="http://schemas.openxmlformats.org/officeDocument/2006/relationships/hyperlink" Id="rId79" Target="https://doi.org/10.1111/all.14722" TargetMode="External" /><Relationship Type="http://schemas.openxmlformats.org/officeDocument/2006/relationships/hyperlink" Id="rId60" Target="https://doi.org/10.1111/all.14958" TargetMode="External" /><Relationship Type="http://schemas.openxmlformats.org/officeDocument/2006/relationships/hyperlink" Id="rId54" Target="https://doi.org/10.1111/all.15571" TargetMode="External" /><Relationship Type="http://schemas.openxmlformats.org/officeDocument/2006/relationships/hyperlink" Id="rId66" Target="https://doi.org/10.1111/cas.12047" TargetMode="External" /><Relationship Type="http://schemas.openxmlformats.org/officeDocument/2006/relationships/hyperlink" Id="rId52" Target="https://doi.org/10.1111/cea.14423" TargetMode="External" /><Relationship Type="http://schemas.openxmlformats.org/officeDocument/2006/relationships/hyperlink" Id="rId42" Target="https://doi.org/10.1111/tid.70099" TargetMode="External" /><Relationship Type="http://schemas.openxmlformats.org/officeDocument/2006/relationships/hyperlink" Id="rId80" Target="https://doi.org/10.1136/postgradmedj-2020-138662" TargetMode="External" /><Relationship Type="http://schemas.openxmlformats.org/officeDocument/2006/relationships/hyperlink" Id="rId49" Target="https://doi.org/10.1371/journal.pone.0318702" TargetMode="External" /><Relationship Type="http://schemas.openxmlformats.org/officeDocument/2006/relationships/hyperlink" Id="rId81" Target="https://doi.org/10.18043/ncm.74.6.501" TargetMode="External" /><Relationship Type="http://schemas.openxmlformats.org/officeDocument/2006/relationships/hyperlink" Id="rId89" Target="https://doi.org/10.7326/G19-0071" TargetMode="External" /><Relationship Type="http://schemas.openxmlformats.org/officeDocument/2006/relationships/hyperlink" Id="rId88" Target="https://doi.org/10.7326/G20-0002" TargetMode="External" /><Relationship Type="http://schemas.openxmlformats.org/officeDocument/2006/relationships/hyperlink" Id="rId90" Target="https://doi.org/10.7326/G20-0052" TargetMode="External" /><Relationship Type="http://schemas.openxmlformats.org/officeDocument/2006/relationships/hyperlink" Id="rId36" Target="https://reporter.nih.gov/search/nAWEE1ZnE0ifSp6lRDrr-w/project-details/11123735#description" TargetMode="External" /><Relationship Type="http://schemas.openxmlformats.org/officeDocument/2006/relationships/hyperlink" Id="rId33" Target="https://reporter.nih.gov/search/s6gObA1I4EG4R3-Ay0HTAw/project-details/11138152" TargetMode="External" /><Relationship Type="http://schemas.openxmlformats.org/officeDocument/2006/relationships/hyperlink" Id="rId95" Target="https://www.aaaai.org/my-membership/member-magazines/Feb-20-2" TargetMode="External" /><Relationship Type="http://schemas.openxmlformats.org/officeDocument/2006/relationships/hyperlink" Id="rId34" Target="https://www.aaaaifoundation.org/research/currently-funded-awards" TargetMode="External" /><Relationship Type="http://schemas.openxmlformats.org/officeDocument/2006/relationships/hyperlink" Id="rId94" Target="https://www.hcplive.com/view/hla-a-32-01-linked-lamotrigine-dress-risk-matthew-krantz-md" TargetMode="External" /><Relationship Type="http://schemas.openxmlformats.org/officeDocument/2006/relationships/hyperlink" Id="rId92" Target="https://www.hcplive.com/view/study-shows-improved-tolerance-with-second-covid-19-vaccine" TargetMode="External" /><Relationship Type="http://schemas.openxmlformats.org/officeDocument/2006/relationships/hyperlink" Id="rId93" Target="https://youtu.be/SX57mkf8nCg?si=lfIxAW4TJLiSCP9U" TargetMode="External" /></Relationships>
</file>

<file path=word/_rels/footnotes.xml.rels><?xml version="1.0" encoding="UTF-8"?><Relationships xmlns="http://schemas.openxmlformats.org/package/2006/relationships"><Relationship Type="http://schemas.openxmlformats.org/officeDocument/2006/relationships/hyperlink" Id="rId17" Target="http://krantzlab.org" TargetMode="External" /><Relationship Type="http://schemas.openxmlformats.org/officeDocument/2006/relationships/hyperlink" Id="rId68" Target="https://doi.org/10.1001/jamadermatol.2022.4519" TargetMode="External" /><Relationship Type="http://schemas.openxmlformats.org/officeDocument/2006/relationships/hyperlink" Id="rId41" Target="https://doi.org/10.1001/jamadermatol.2025.4240" TargetMode="External" /><Relationship Type="http://schemas.openxmlformats.org/officeDocument/2006/relationships/hyperlink" Id="rId58" Target="https://doi.org/10.1001/jamainternmed.2021.3779" TargetMode="External" /><Relationship Type="http://schemas.openxmlformats.org/officeDocument/2006/relationships/hyperlink" Id="rId56" Target="https://doi.org/10.1001/jamainternmed.2021.8515" TargetMode="External" /><Relationship Type="http://schemas.openxmlformats.org/officeDocument/2006/relationships/hyperlink" Id="rId53" Target="https://doi.org/10.1001/jamanetworkopen.2023.16776" TargetMode="External" /><Relationship Type="http://schemas.openxmlformats.org/officeDocument/2006/relationships/hyperlink" Id="rId40" Target="https://doi.org/10.1001/jamaoncol.2025.4349" TargetMode="External" /><Relationship Type="http://schemas.openxmlformats.org/officeDocument/2006/relationships/hyperlink" Id="rId76" Target="https://doi.org/10.1016/S1473-3099(22)00123-2" TargetMode="External" /><Relationship Type="http://schemas.openxmlformats.org/officeDocument/2006/relationships/hyperlink" Id="rId77" Target="https://doi.org/10.1016/j.amsu.2022.103388" TargetMode="External" /><Relationship Type="http://schemas.openxmlformats.org/officeDocument/2006/relationships/hyperlink" Id="rId84" Target="https://doi.org/10.1016/j.anai.2018.11.002" TargetMode="External" /><Relationship Type="http://schemas.openxmlformats.org/officeDocument/2006/relationships/hyperlink" Id="rId44" Target="https://doi.org/10.1016/j.anai.2025.07.023" TargetMode="External" /><Relationship Type="http://schemas.openxmlformats.org/officeDocument/2006/relationships/hyperlink" Id="rId39" Target="https://doi.org/10.1016/j.ebiom.2026.106227" TargetMode="External" /><Relationship Type="http://schemas.openxmlformats.org/officeDocument/2006/relationships/hyperlink" Id="rId71" Target="https://doi.org/10.1016/j.iac.2021.12.008" TargetMode="External" /><Relationship Type="http://schemas.openxmlformats.org/officeDocument/2006/relationships/hyperlink" Id="rId69" Target="https://doi.org/10.1016/j.jaci.2022.12.005" TargetMode="External" /><Relationship Type="http://schemas.openxmlformats.org/officeDocument/2006/relationships/hyperlink" Id="rId83" Target="https://doi.org/10.1016/j.jacig.2024.100337" TargetMode="External" /><Relationship Type="http://schemas.openxmlformats.org/officeDocument/2006/relationships/hyperlink" Id="rId50" Target="https://doi.org/10.1016/j.jacig.2025.100426" TargetMode="External" /><Relationship Type="http://schemas.openxmlformats.org/officeDocument/2006/relationships/hyperlink" Id="rId45" Target="https://doi.org/10.1016/j.jacig.2025.100543" TargetMode="External" /><Relationship Type="http://schemas.openxmlformats.org/officeDocument/2006/relationships/hyperlink" Id="rId65" Target="https://doi.org/10.1016/j.jaip.2018.12.003" TargetMode="External" /><Relationship Type="http://schemas.openxmlformats.org/officeDocument/2006/relationships/hyperlink" Id="rId64" Target="https://doi.org/10.1016/j.jaip.2019.07.003" TargetMode="External" /><Relationship Type="http://schemas.openxmlformats.org/officeDocument/2006/relationships/hyperlink" Id="rId63" Target="https://doi.org/10.1016/j.jaip.2019.12.041" TargetMode="External" /><Relationship Type="http://schemas.openxmlformats.org/officeDocument/2006/relationships/hyperlink" Id="rId62" Target="https://doi.org/10.1016/j.jaip.2020.09.017" TargetMode="External" /><Relationship Type="http://schemas.openxmlformats.org/officeDocument/2006/relationships/hyperlink" Id="rId61" Target="https://doi.org/10.1016/j.jaip.2020.09.021" TargetMode="External" /><Relationship Type="http://schemas.openxmlformats.org/officeDocument/2006/relationships/hyperlink" Id="rId72" Target="https://doi.org/10.1016/j.jaip.2021.03.002" TargetMode="External" /><Relationship Type="http://schemas.openxmlformats.org/officeDocument/2006/relationships/hyperlink" Id="rId59" Target="https://doi.org/10.1016/j.jaip.2021.07.010" TargetMode="External" /><Relationship Type="http://schemas.openxmlformats.org/officeDocument/2006/relationships/hyperlink" Id="rId78" Target="https://doi.org/10.1016/j.jaip.2021.07.027" TargetMode="External" /><Relationship Type="http://schemas.openxmlformats.org/officeDocument/2006/relationships/hyperlink" Id="rId57" Target="https://doi.org/10.1016/j.jaip.2021.12.025" TargetMode="External" /><Relationship Type="http://schemas.openxmlformats.org/officeDocument/2006/relationships/hyperlink" Id="rId70" Target="https://doi.org/10.1016/j.jaip.2022.04.016" TargetMode="External" /><Relationship Type="http://schemas.openxmlformats.org/officeDocument/2006/relationships/hyperlink" Id="rId55" Target="https://doi.org/10.1016/j.jaip.2022.08.048" TargetMode="External" /><Relationship Type="http://schemas.openxmlformats.org/officeDocument/2006/relationships/hyperlink" Id="rId48" Target="https://doi.org/10.1016/j.jaip.2025.05.027" TargetMode="External" /><Relationship Type="http://schemas.openxmlformats.org/officeDocument/2006/relationships/hyperlink" Id="rId46" Target="https://doi.org/10.1016/j.jaip.2025.05.054" TargetMode="External" /><Relationship Type="http://schemas.openxmlformats.org/officeDocument/2006/relationships/hyperlink" Id="rId43" Target="https://doi.org/10.1016/j.jaip.2025.08.001" TargetMode="External" /><Relationship Type="http://schemas.openxmlformats.org/officeDocument/2006/relationships/hyperlink" Id="rId73" Target="https://doi.org/10.1016/j.jaip.2026.02.029" TargetMode="External" /><Relationship Type="http://schemas.openxmlformats.org/officeDocument/2006/relationships/hyperlink" Id="rId75" Target="https://doi.org/10.1080/15265161.2022.2030590" TargetMode="External" /><Relationship Type="http://schemas.openxmlformats.org/officeDocument/2006/relationships/hyperlink" Id="rId51" Target="https://doi.org/10.1093/jamia/ocae072" TargetMode="External" /><Relationship Type="http://schemas.openxmlformats.org/officeDocument/2006/relationships/hyperlink" Id="rId47" Target="https://doi.org/10.1093/toxsci/kfaf074" TargetMode="External" /><Relationship Type="http://schemas.openxmlformats.org/officeDocument/2006/relationships/hyperlink" Id="rId79" Target="https://doi.org/10.1111/all.14722" TargetMode="External" /><Relationship Type="http://schemas.openxmlformats.org/officeDocument/2006/relationships/hyperlink" Id="rId60" Target="https://doi.org/10.1111/all.14958" TargetMode="External" /><Relationship Type="http://schemas.openxmlformats.org/officeDocument/2006/relationships/hyperlink" Id="rId54" Target="https://doi.org/10.1111/all.15571" TargetMode="External" /><Relationship Type="http://schemas.openxmlformats.org/officeDocument/2006/relationships/hyperlink" Id="rId66" Target="https://doi.org/10.1111/cas.12047" TargetMode="External" /><Relationship Type="http://schemas.openxmlformats.org/officeDocument/2006/relationships/hyperlink" Id="rId52" Target="https://doi.org/10.1111/cea.14423" TargetMode="External" /><Relationship Type="http://schemas.openxmlformats.org/officeDocument/2006/relationships/hyperlink" Id="rId42" Target="https://doi.org/10.1111/tid.70099" TargetMode="External" /><Relationship Type="http://schemas.openxmlformats.org/officeDocument/2006/relationships/hyperlink" Id="rId80" Target="https://doi.org/10.1136/postgradmedj-2020-138662" TargetMode="External" /><Relationship Type="http://schemas.openxmlformats.org/officeDocument/2006/relationships/hyperlink" Id="rId49" Target="https://doi.org/10.1371/journal.pone.0318702" TargetMode="External" /><Relationship Type="http://schemas.openxmlformats.org/officeDocument/2006/relationships/hyperlink" Id="rId81" Target="https://doi.org/10.18043/ncm.74.6.501" TargetMode="External" /><Relationship Type="http://schemas.openxmlformats.org/officeDocument/2006/relationships/hyperlink" Id="rId89" Target="https://doi.org/10.7326/G19-0071" TargetMode="External" /><Relationship Type="http://schemas.openxmlformats.org/officeDocument/2006/relationships/hyperlink" Id="rId88" Target="https://doi.org/10.7326/G20-0002" TargetMode="External" /><Relationship Type="http://schemas.openxmlformats.org/officeDocument/2006/relationships/hyperlink" Id="rId90" Target="https://doi.org/10.7326/G20-0052" TargetMode="External" /><Relationship Type="http://schemas.openxmlformats.org/officeDocument/2006/relationships/hyperlink" Id="rId36" Target="https://reporter.nih.gov/search/nAWEE1ZnE0ifSp6lRDrr-w/project-details/11123735#description" TargetMode="External" /><Relationship Type="http://schemas.openxmlformats.org/officeDocument/2006/relationships/hyperlink" Id="rId33" Target="https://reporter.nih.gov/search/s6gObA1I4EG4R3-Ay0HTAw/project-details/11138152" TargetMode="External" /><Relationship Type="http://schemas.openxmlformats.org/officeDocument/2006/relationships/hyperlink" Id="rId95" Target="https://www.aaaai.org/my-membership/member-magazines/Feb-20-2" TargetMode="External" /><Relationship Type="http://schemas.openxmlformats.org/officeDocument/2006/relationships/hyperlink" Id="rId34" Target="https://www.aaaaifoundation.org/research/currently-funded-awards" TargetMode="External" /><Relationship Type="http://schemas.openxmlformats.org/officeDocument/2006/relationships/hyperlink" Id="rId94" Target="https://www.hcplive.com/view/hla-a-32-01-linked-lamotrigine-dress-risk-matthew-krantz-md" TargetMode="External" /><Relationship Type="http://schemas.openxmlformats.org/officeDocument/2006/relationships/hyperlink" Id="rId92" Target="https://www.hcplive.com/view/study-shows-improved-tolerance-with-second-covid-19-vaccine" TargetMode="External" /><Relationship Type="http://schemas.openxmlformats.org/officeDocument/2006/relationships/hyperlink" Id="rId93" Target="https://youtu.be/SX57mkf8nCg?si=lfIxAW4TJLiSCP9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2026-09-14T17:04:31Z</dcterms:created>
  <dcterms:modified xsi:type="dcterms:W3CDTF">2026-09-14T17:04:31Z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