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0100" w:rsidRDefault="006515F0">
      <w:pPr>
        <w:pStyle w:val="Title"/>
      </w:pPr>
      <w:r>
        <w:t>The Preferential Tariff implementing the Agreement between the United Kingdom of Great Britain and Northern Ireland and Georgia, version 1.0, dated 1 November 2019</w:t>
      </w:r>
    </w:p>
    <w:p w:rsidR="00860100" w:rsidRDefault="00860100"/>
    <w:p w:rsidR="00860100" w:rsidRDefault="006515F0">
      <w:pPr>
        <w:pStyle w:val="Contents"/>
      </w:pPr>
      <w:r>
        <w:t>PART ONE: Overview</w:t>
      </w:r>
    </w:p>
    <w:p w:rsidR="00860100" w:rsidRDefault="006515F0">
      <w:pPr>
        <w:pStyle w:val="Contents"/>
      </w:pPr>
      <w:r>
        <w:t>PART TWO: UK Preferential Tariff</w:t>
      </w:r>
    </w:p>
    <w:p w:rsidR="00860100" w:rsidRDefault="006515F0">
      <w:pPr>
        <w:pStyle w:val="Contents"/>
      </w:pPr>
      <w:r>
        <w:t xml:space="preserve">Annex I: Preferential Duty </w:t>
      </w:r>
      <w:r>
        <w:t>Tariff Table</w:t>
      </w:r>
    </w:p>
    <w:p w:rsidR="00860100" w:rsidRDefault="006515F0">
      <w:pPr>
        <w:pStyle w:val="Contents"/>
      </w:pPr>
      <w:r>
        <w:t>Annex II: Preferential Quota Table</w:t>
      </w:r>
    </w:p>
    <w:p w:rsidR="00860100" w:rsidRDefault="006515F0">
      <w:pPr>
        <w:pStyle w:val="Heading1"/>
      </w:pPr>
      <w:r>
        <w:t>PART ONE: OVERVIEW</w:t>
      </w:r>
    </w:p>
    <w:p w:rsidR="00860100" w:rsidRDefault="006515F0">
      <w:pPr>
        <w:pStyle w:val="ListParagraph"/>
        <w:numPr>
          <w:ilvl w:val="0"/>
          <w:numId w:val="7"/>
        </w:numPr>
        <w:ind w:left="284" w:hanging="284"/>
      </w:pPr>
      <w:r>
        <w:t>This document is the Preferential Tariff Document made under the Customs Tariff (Preferential Trade Arrangements) (EU Exit) Regulations 2019 for the Free Trade Agreement between the Governm</w:t>
      </w:r>
      <w:r>
        <w:t>ent of the United Kingdom, of the one part, and the Government of Georgia, of the other part, signed on 01/11/2019 ("the Agreement"). It is made pursuant to regulations 2 and 3 and column 1 and 2 of the Schedule to the Regulations.</w:t>
      </w:r>
    </w:p>
    <w:p w:rsidR="00860100" w:rsidRDefault="006515F0">
      <w:pPr>
        <w:pStyle w:val="ListParagraph"/>
        <w:numPr>
          <w:ilvl w:val="0"/>
          <w:numId w:val="7"/>
        </w:numPr>
        <w:ind w:left="284" w:hanging="284"/>
      </w:pPr>
      <w:r>
        <w:t>This document sets out t</w:t>
      </w:r>
      <w:r>
        <w:t>he relevant tables for the preferential duty rates and quota rates and volumes pursuant to the Agreement.</w:t>
      </w:r>
    </w:p>
    <w:p w:rsidR="00860100" w:rsidRDefault="006515F0">
      <w:pPr>
        <w:pStyle w:val="ListParagraph"/>
        <w:numPr>
          <w:ilvl w:val="0"/>
          <w:numId w:val="7"/>
        </w:numPr>
        <w:ind w:left="284" w:hanging="284"/>
      </w:pPr>
      <w:r>
        <w:t>Part Two of this document and the associated annexes set out the UK Preferential Tariff of the Agreement by specifying the rate of import duty applica</w:t>
      </w:r>
      <w:r>
        <w:t>ble to goods falling within codes defined by the Goods Classification Table and falling within the Agreement.</w:t>
      </w:r>
    </w:p>
    <w:p w:rsidR="00860100" w:rsidRDefault="006515F0">
      <w:pPr>
        <w:pStyle w:val="ListParagraph"/>
        <w:numPr>
          <w:ilvl w:val="0"/>
          <w:numId w:val="7"/>
        </w:numPr>
        <w:ind w:left="284" w:hanging="284"/>
      </w:pPr>
      <w:r>
        <w:t>In this Reference Document, words and expressions have the meaning given in the Customs Tariff (Preferential Trade Arrangements) (EU Exit) Regulat</w:t>
      </w:r>
      <w:r>
        <w:t>ions 2019 ("the Regulations") and the Customs Tariff (Establishment) (EU Exit) Regulations 2019, including the Goods Classification Table and Tariff of the United Kingdom made thereunder.</w:t>
      </w:r>
    </w:p>
    <w:p w:rsidR="00860100" w:rsidRDefault="006515F0">
      <w:pPr>
        <w:pStyle w:val="Heading1"/>
      </w:pPr>
      <w:r>
        <w:t>PART TWO: UK PREFERENTIAL TARIFF</w:t>
      </w:r>
    </w:p>
    <w:p w:rsidR="00860100" w:rsidRDefault="006515F0">
      <w:pPr>
        <w:pStyle w:val="ListParagraph"/>
        <w:numPr>
          <w:ilvl w:val="0"/>
          <w:numId w:val="10"/>
        </w:numPr>
        <w:ind w:left="284" w:hanging="284"/>
      </w:pPr>
      <w:r>
        <w:t>For the purposes of the Customs Tar</w:t>
      </w:r>
      <w:r>
        <w:t>iff of the United Kingdom:</w:t>
      </w:r>
    </w:p>
    <w:p w:rsidR="00860100" w:rsidRDefault="006515F0">
      <w:pPr>
        <w:pStyle w:val="ListParagraph"/>
        <w:numPr>
          <w:ilvl w:val="0"/>
          <w:numId w:val="11"/>
        </w:numPr>
        <w:ind w:left="567" w:hanging="283"/>
      </w:pPr>
      <w:r>
        <w:t>the "Preferential Duty Tariff Table" is the table that appears at Annex I;</w:t>
      </w:r>
    </w:p>
    <w:p w:rsidR="00860100" w:rsidRDefault="006515F0">
      <w:pPr>
        <w:pStyle w:val="ListParagraph"/>
        <w:numPr>
          <w:ilvl w:val="0"/>
          <w:numId w:val="11"/>
        </w:numPr>
        <w:ind w:left="567" w:hanging="283"/>
      </w:pPr>
      <w:r>
        <w:t>the "Preferential Quota Table" is the table that appears at Annex II;</w:t>
      </w:r>
    </w:p>
    <w:p w:rsidR="00860100" w:rsidRDefault="006515F0">
      <w:pPr>
        <w:pStyle w:val="ListParagraph"/>
        <w:numPr>
          <w:ilvl w:val="0"/>
          <w:numId w:val="11"/>
        </w:numPr>
        <w:ind w:left="567" w:hanging="283"/>
      </w:pPr>
      <w:r>
        <w:t>a "Duty Rate" is any alphanumeric information appearing in column 2 of the Preferent</w:t>
      </w:r>
      <w:r>
        <w:t>ial Duty Tariff Table or column 4 of the Quota Table.</w:t>
      </w:r>
    </w:p>
    <w:p w:rsidR="00860100" w:rsidRDefault="00860100"/>
    <w:p w:rsidR="00860100" w:rsidRDefault="006515F0">
      <w:pPr>
        <w:pStyle w:val="Heading1"/>
      </w:pPr>
      <w:r>
        <w:br w:type="page"/>
      </w:r>
      <w:r>
        <w:lastRenderedPageBreak/>
        <w:t>ANNEX I</w:t>
      </w:r>
      <w:r>
        <w:br/>
        <w:t>PREFERENTIAL DUTY TARIFF TABLE</w:t>
      </w:r>
    </w:p>
    <w:p w:rsidR="00860100" w:rsidRDefault="006515F0">
      <w:pPr>
        <w:pStyle w:val="Numberedlist"/>
      </w:pPr>
      <w:r>
        <w:t>This table sets out the preferential duty tariff for the Agreement, under regulation 2 of the Regulations.</w:t>
      </w:r>
    </w:p>
    <w:p w:rsidR="00860100" w:rsidRDefault="006515F0">
      <w:pPr>
        <w:pStyle w:val="Numberedlist"/>
      </w:pPr>
      <w:r>
        <w:t>The Commodity Code in column 1 is defined in regulatio</w:t>
      </w:r>
      <w:r>
        <w:t xml:space="preserve">n 2(3) of the Customs Tariff (Establishment) (EU Exit) Regulations 2019 ("the Tariff Regulations"). </w:t>
      </w:r>
    </w:p>
    <w:p w:rsidR="00860100" w:rsidRDefault="006515F0">
      <w:pPr>
        <w:pStyle w:val="Numberedlist"/>
      </w:pPr>
      <w:r>
        <w:t>The Preferential Duty Rate in column 2 is defined in regulation 2(2) of the Regulations.</w:t>
      </w:r>
    </w:p>
    <w:tbl>
      <w:tblPr>
        <w:tblStyle w:val="ListTable3"/>
        <w:tblW w:w="0" w:type="auto"/>
        <w:tblLook w:val="0620" w:firstRow="1" w:lastRow="0" w:firstColumn="0" w:lastColumn="0" w:noHBand="1" w:noVBand="1"/>
      </w:tblPr>
      <w:tblGrid>
        <w:gridCol w:w="1947"/>
        <w:gridCol w:w="7059"/>
      </w:tblGrid>
      <w:tr w:rsidR="00860100" w:rsidTr="00860100">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rsidR="00860100" w:rsidRDefault="006515F0">
            <w:pPr>
              <w:pStyle w:val="NormalinTable"/>
            </w:pPr>
            <w:r>
              <w:t>1</w:t>
            </w:r>
          </w:p>
        </w:tc>
        <w:tc>
          <w:tcPr>
            <w:tcW w:w="1450" w:type="pct"/>
            <w:tcBorders>
              <w:left w:val="single" w:sz="12" w:space="0" w:color="000000" w:themeColor="text1"/>
              <w:right w:val="single" w:sz="12" w:space="0" w:color="000000" w:themeColor="text1"/>
            </w:tcBorders>
          </w:tcPr>
          <w:p w:rsidR="00860100" w:rsidRDefault="006515F0">
            <w:pPr>
              <w:pStyle w:val="NormalinTable"/>
            </w:pPr>
            <w:r>
              <w:t>2</w:t>
            </w:r>
          </w:p>
        </w:tc>
      </w:tr>
      <w:tr w:rsidR="00860100" w:rsidTr="00860100">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rsidR="00860100" w:rsidRDefault="006515F0">
            <w:pPr>
              <w:pStyle w:val="NormalinTable"/>
            </w:pPr>
            <w:r>
              <w:t>Commodity code</w:t>
            </w:r>
          </w:p>
        </w:tc>
        <w:tc>
          <w:tcPr>
            <w:tcW w:w="1450" w:type="pct"/>
            <w:tcBorders>
              <w:left w:val="single" w:sz="12" w:space="0" w:color="000000" w:themeColor="text1"/>
              <w:right w:val="single" w:sz="12" w:space="0" w:color="000000" w:themeColor="text1"/>
            </w:tcBorders>
          </w:tcPr>
          <w:p w:rsidR="00860100" w:rsidRDefault="006515F0">
            <w:pPr>
              <w:pStyle w:val="NormalinTable"/>
            </w:pPr>
            <w:r>
              <w:t>Preferential Duty Rate</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0102 29 10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0102 29 21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0102 29 29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0102 29 41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0102 29 49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0102 29 51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0102 29 59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0102 29 61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0102 29 69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0102 29 91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0102 29 99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0102 39 10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0102 90 91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0106 14 10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0106 39 10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0206 10 10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0206 10 95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0206 29 10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0206 29 91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0206 80 00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0206 90 00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0210 00 00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0511 99 39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0703 10 00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0703 90 00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0707 00 05 10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01/05 to 31/10</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lastRenderedPageBreak/>
              <w:t>0707 00 05 20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01/05 to 31/10</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0707 00 05 90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01/05 to 31/10</w:t>
            </w:r>
            <w:r>
              <w:tab/>
              <w:t xml:space="preserve">Entry Price - </w:t>
            </w:r>
            <w:r>
              <w:t>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0707 00 05 99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01/05 to 31/10</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0707 00 90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0709 20 00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0709 30 00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0709 40 00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0709 51 00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0709 59 00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0709 60 00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0709 70 00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0709 91 00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30/06</w:t>
            </w:r>
            <w:r>
              <w:tab/>
              <w:t>Entry Price - 0.00% + Specific 100%</w:t>
            </w:r>
            <w:r>
              <w:br/>
              <w:t>01/07 to 31/10</w:t>
            </w:r>
            <w:r>
              <w:tab/>
              <w:t>0.00%</w:t>
            </w:r>
          </w:p>
          <w:p w:rsidR="00041026" w:rsidRDefault="00041026">
            <w:pPr>
              <w:pStyle w:val="NormalinTable"/>
              <w:tabs>
                <w:tab w:val="left" w:pos="1250"/>
              </w:tabs>
            </w:pPr>
            <w:r>
              <w:t>1</w:t>
            </w:r>
            <w:r>
              <w:t>1/01 to 3</w:t>
            </w:r>
            <w:r>
              <w:t>1</w:t>
            </w:r>
            <w:r>
              <w:t>/</w:t>
            </w:r>
            <w:r>
              <w:t>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0709 92 00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0709 93 10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31/1</w:t>
            </w:r>
            <w:r w:rsidR="0084670B">
              <w:t>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0709 93 90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0709 99 00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0713 50 00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0713 60 00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0713 90 00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0714 00 00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0805 10 22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4670B" w:rsidRDefault="006515F0">
            <w:pPr>
              <w:pStyle w:val="NormalinTable"/>
              <w:tabs>
                <w:tab w:val="left" w:pos="1250"/>
              </w:tabs>
            </w:pPr>
            <w:r>
              <w:t>01/01 to 31/05</w:t>
            </w:r>
            <w:r>
              <w:tab/>
              <w:t>Entry Price - 0.00% + Specific 100%</w:t>
            </w:r>
            <w:r>
              <w:br/>
              <w:t>01/06 to 30/11</w:t>
            </w:r>
            <w:r>
              <w:tab/>
              <w:t>0.00%</w:t>
            </w:r>
            <w:r w:rsidR="0084670B">
              <w:br/>
            </w:r>
            <w:r w:rsidR="0084670B">
              <w:t>01/</w:t>
            </w:r>
            <w:r w:rsidR="0084670B">
              <w:t>12</w:t>
            </w:r>
            <w:r w:rsidR="0084670B">
              <w:t xml:space="preserve"> to 31/</w:t>
            </w:r>
            <w:r w:rsidR="0084670B">
              <w:t>12</w:t>
            </w:r>
            <w:r w:rsidR="0084670B">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0805 10 24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84670B">
            <w:pPr>
              <w:pStyle w:val="NormalinTable"/>
              <w:tabs>
                <w:tab w:val="left" w:pos="1250"/>
              </w:tabs>
            </w:pPr>
            <w:r>
              <w:t>01/01 to 31/05</w:t>
            </w:r>
            <w:r>
              <w:tab/>
              <w:t>Entry Price - 0.00% + Specific 100%</w:t>
            </w:r>
            <w:r>
              <w:br/>
              <w:t>01/06 to 30/11</w:t>
            </w:r>
            <w:r>
              <w:tab/>
              <w:t>0.00%</w:t>
            </w:r>
            <w:r>
              <w:br/>
              <w:t>01/12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0805 10 28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84670B">
            <w:pPr>
              <w:pStyle w:val="NormalinTable"/>
              <w:tabs>
                <w:tab w:val="left" w:pos="1250"/>
              </w:tabs>
            </w:pPr>
            <w:r>
              <w:t>01/01 to 31/05</w:t>
            </w:r>
            <w:r>
              <w:tab/>
              <w:t>Entry Price - 0.00% + Specific 100%</w:t>
            </w:r>
            <w:r>
              <w:br/>
              <w:t>01/06 to 30/11</w:t>
            </w:r>
            <w:r>
              <w:tab/>
              <w:t>0.00%</w:t>
            </w:r>
            <w:r>
              <w:br/>
              <w:t>01/12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0805 10 80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0805 21 10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28/02</w:t>
            </w:r>
            <w:r>
              <w:tab/>
              <w:t>Entry Price - 0.00% + Specific 100%</w:t>
            </w:r>
            <w:r>
              <w:br/>
              <w:t>01/03 to 31/10</w:t>
            </w:r>
            <w:r>
              <w:tab/>
              <w:t>0.00%</w:t>
            </w:r>
            <w:r w:rsidR="0084670B">
              <w:br/>
            </w:r>
            <w:r w:rsidR="0084670B">
              <w:t>01/1</w:t>
            </w:r>
            <w:r w:rsidR="0084670B">
              <w:t>1</w:t>
            </w:r>
            <w:r w:rsidR="0084670B">
              <w:t xml:space="preserve"> to 31/12</w:t>
            </w:r>
            <w:r w:rsidR="0084670B">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0805 21 90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84670B">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0805 22 00 11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84670B">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0805 22 00 19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84670B">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0805 22 00 20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84670B">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0805 22 00 90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3D7081">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3D7081">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0805 50 10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31/1</w:t>
            </w:r>
            <w:r w:rsidR="00262B5D">
              <w:t>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lastRenderedPageBreak/>
              <w:t>0805 50 90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0805 90 00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0806 10 10 90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20/07</w:t>
            </w:r>
            <w:r>
              <w:tab/>
              <w:t>0.00%</w:t>
            </w:r>
            <w:r>
              <w:br/>
              <w:t>21/07 to 31/10</w:t>
            </w:r>
            <w:r>
              <w:tab/>
              <w:t>Entry Price - 0.00% + Specific 100%</w:t>
            </w:r>
          </w:p>
          <w:p w:rsidR="00262B5D" w:rsidRDefault="00262B5D">
            <w:pPr>
              <w:pStyle w:val="NormalinTable"/>
              <w:tabs>
                <w:tab w:val="left" w:pos="1250"/>
              </w:tabs>
            </w:pPr>
            <w:r>
              <w:t>01/</w:t>
            </w:r>
            <w:r>
              <w:t>1</w:t>
            </w:r>
            <w:r>
              <w:t xml:space="preserve">1 to </w:t>
            </w:r>
            <w:r>
              <w:t>31</w:t>
            </w:r>
            <w:r>
              <w:t>/</w:t>
            </w:r>
            <w:r>
              <w:t>12</w:t>
            </w:r>
            <w:bookmarkStart w:id="0" w:name="_GoBack"/>
            <w:bookmarkEnd w:id="0"/>
            <w:r>
              <w:tab/>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0806 10 90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0806 20 00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0808 10 10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16/09 to 15/12</w:t>
            </w:r>
            <w:r>
              <w:tab/>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0808 10 80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31/1</w:t>
            </w:r>
            <w:r w:rsidR="00262B5D">
              <w:t>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0808 30 10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01/08 to 31/12</w:t>
            </w:r>
            <w:r>
              <w:tab/>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0808 30 90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30/04</w:t>
            </w:r>
            <w:r>
              <w:tab/>
              <w:t>Entry Price - 0.00% + Specific 100%</w:t>
            </w:r>
            <w:r>
              <w:br/>
              <w:t>01/05 to 30/06</w:t>
            </w:r>
            <w:r>
              <w:tab/>
              <w:t>1.000 € / 1</w:t>
            </w:r>
            <w:r>
              <w:t>00 kg</w:t>
            </w:r>
            <w:r>
              <w:br/>
              <w:t>01/07 to 31/1</w:t>
            </w:r>
            <w:r w:rsidR="00262B5D">
              <w:t>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0808 40 00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0809 10 00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31/05</w:t>
            </w:r>
            <w:r>
              <w:tab/>
              <w:t>0.00%</w:t>
            </w:r>
            <w:r>
              <w:br/>
              <w:t>01/06 to 31/07</w:t>
            </w:r>
            <w:r>
              <w:tab/>
              <w:t>Entry Price - 0.00% + Specific 100%</w:t>
            </w:r>
            <w:r>
              <w:br/>
              <w:t>01/08 to 31/12</w:t>
            </w:r>
            <w:r>
              <w:tab/>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0809 21 00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30/04</w:t>
            </w:r>
            <w:r>
              <w:tab/>
              <w:t>0.00%</w:t>
            </w:r>
            <w:r>
              <w:br/>
              <w:t>01/05 to 20/05</w:t>
            </w:r>
            <w:r>
              <w:tab/>
              <w:t>2.400 € / 100 kg</w:t>
            </w:r>
            <w:r>
              <w:br/>
              <w:t xml:space="preserve">21/05 to </w:t>
            </w:r>
            <w:r>
              <w:t>10/08</w:t>
            </w:r>
            <w:r>
              <w:tab/>
              <w:t>Entry Price - 0.00% + Specific 100%</w:t>
            </w:r>
            <w:r>
              <w:br/>
              <w:t>11/08 to 31/12</w:t>
            </w:r>
            <w:r>
              <w:tab/>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0809 29 00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30/04</w:t>
            </w:r>
            <w:r>
              <w:tab/>
              <w:t>0.00%</w:t>
            </w:r>
            <w:r>
              <w:br/>
              <w:t>01/05 to 20/05</w:t>
            </w:r>
            <w:r>
              <w:tab/>
              <w:t>2.400 € / 100 kg</w:t>
            </w:r>
            <w:r>
              <w:br/>
              <w:t>21/05 to 10/08</w:t>
            </w:r>
            <w:r>
              <w:tab/>
              <w:t>Entry Price - 0.00% + Specific 100%</w:t>
            </w:r>
            <w:r>
              <w:br/>
              <w:t>11/08 to 31/12</w:t>
            </w:r>
            <w:r>
              <w:tab/>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0809 30 10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10/06</w:t>
            </w:r>
            <w:r>
              <w:tab/>
              <w:t>0.00%</w:t>
            </w:r>
            <w:r>
              <w:br/>
              <w:t>11/06 to 30/09</w:t>
            </w:r>
            <w:r>
              <w:tab/>
              <w:t>Entry Pr</w:t>
            </w:r>
            <w:r>
              <w:t>ice - 0.00% + Specific 100%</w:t>
            </w:r>
            <w:r>
              <w:br/>
              <w:t>01/10 to 31/12</w:t>
            </w:r>
            <w:r>
              <w:tab/>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0809 30 90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10/06</w:t>
            </w:r>
            <w:r>
              <w:tab/>
              <w:t>0.00%</w:t>
            </w:r>
            <w:r>
              <w:br/>
              <w:t>11/06 to 30/09</w:t>
            </w:r>
            <w:r>
              <w:tab/>
              <w:t>Entry Price - 0.00% + Specific 100%</w:t>
            </w:r>
            <w:r>
              <w:br/>
              <w:t>01/10 to 31/12</w:t>
            </w:r>
            <w:r>
              <w:tab/>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0809 40 05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10/06</w:t>
            </w:r>
            <w:r>
              <w:tab/>
              <w:t>0.00%</w:t>
            </w:r>
            <w:r>
              <w:br/>
              <w:t>11/06 to 30/09</w:t>
            </w:r>
            <w:r>
              <w:tab/>
              <w:t>Entry Price - 0.00% + Specific 100%</w:t>
            </w:r>
            <w:r>
              <w:br/>
              <w:t>01/10 to 31/12</w:t>
            </w:r>
            <w:r>
              <w:tab/>
              <w:t>0.0</w:t>
            </w:r>
            <w:r>
              <w:t>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0809 40 90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0814 00 00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0900 00 00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1001 00 00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1002 00 00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1003 00 00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1004 00 00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1005 10 90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1005 90 00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1006 00 00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1007 00 00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1008 00 00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1208 10 00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1209 10 00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1209 21 00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1209 23 80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1209 29 50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1209 29 60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1209 29 80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1209 30 00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1209 91 00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lastRenderedPageBreak/>
              <w:t>1209 99 91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1209 99 99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1211 90 30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1212 91 00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1212 92 00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1212 93 00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1212 99 49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1214 90 10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1302 12 00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1302 13 00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1302 19 05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1302 20 00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1602 32 00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1602 39 00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1602 42 00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1602 49 00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1602 90 31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1602 90 61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1602 90 69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1602 90 95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1602 90 99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1603 00 10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1605 00 00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1701 00 00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1702 11 00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1702 19 00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1702 20 00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1702 30 00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1702 40 00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1702 50 00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1702 60 00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1702 90 00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1703 00 00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1704 00 00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1900 00 00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2006 00 31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2006 00 35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2006 00 38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2006 00 91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lastRenderedPageBreak/>
              <w:t>2006 00 99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2009 39 00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2009 49 00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2009 61 10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01/01 to 31/1</w:t>
            </w:r>
            <w:r w:rsidR="00262B5D">
              <w:t>2</w:t>
            </w:r>
            <w:r>
              <w:tab/>
            </w:r>
            <w:r>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2009 61 90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2009 69 11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2009 69 19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262B5D">
            <w:pPr>
              <w:pStyle w:val="NormalinTable"/>
              <w:tabs>
                <w:tab w:val="left" w:pos="1250"/>
              </w:tabs>
            </w:pPr>
            <w:r>
              <w:t>01/01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2009 69 51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262B5D">
            <w:pPr>
              <w:pStyle w:val="NormalinTable"/>
              <w:tabs>
                <w:tab w:val="left" w:pos="1250"/>
              </w:tabs>
            </w:pPr>
            <w:r>
              <w:t>01/01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2009 69 59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262B5D">
            <w:pPr>
              <w:pStyle w:val="NormalinTable"/>
              <w:tabs>
                <w:tab w:val="left" w:pos="1250"/>
              </w:tabs>
            </w:pPr>
            <w:r>
              <w:t>01/01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2009 69 71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2009 69 79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2009 69 90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2009 71 00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2009 79 00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2009 81 00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2009 89 00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2009 90 00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2101 00 00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2102 00 00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2103 00 00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2104 00 00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2105 00 00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2106 10 00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2106 90 20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2106 90 30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2106 90 51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2106 90 55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2106 90 59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2106 90 92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2106 90 98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2204 10 13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2204 10 15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2204 10 93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2204 10 94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2204 10 96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2204 10 98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2204 21 06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2204 21 07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2204 21 08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2204 21 09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2204 21 93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2204 21 94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2204 21 95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2204 21 96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2204 21 97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2204 21 98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lastRenderedPageBreak/>
              <w:t>2204 22 10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2204 22 93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2204 22 94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2204 22 95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2204 22 96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2204 22 97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2204 22 98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2204 29 93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2204 29 94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2204 29 95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2204 29 96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2204 29 97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2204 29 98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2204 30 10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2204 30 92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262B5D">
            <w:pPr>
              <w:pStyle w:val="NormalinTable"/>
              <w:tabs>
                <w:tab w:val="left" w:pos="1250"/>
              </w:tabs>
            </w:pPr>
            <w:r>
              <w:t>01/01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2204 30 94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262B5D">
            <w:pPr>
              <w:pStyle w:val="NormalinTable"/>
              <w:tabs>
                <w:tab w:val="left" w:pos="1250"/>
              </w:tabs>
            </w:pPr>
            <w:r>
              <w:t>01/01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2204 30 96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262B5D">
            <w:pPr>
              <w:pStyle w:val="NormalinTable"/>
              <w:tabs>
                <w:tab w:val="left" w:pos="1250"/>
              </w:tabs>
            </w:pPr>
            <w:r>
              <w:t>01/01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2204 30 98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262B5D">
            <w:pPr>
              <w:pStyle w:val="NormalinTable"/>
              <w:tabs>
                <w:tab w:val="left" w:pos="1250"/>
              </w:tabs>
            </w:pPr>
            <w:r>
              <w:t>01/01 to 31/12</w:t>
            </w:r>
            <w:r>
              <w:tab/>
              <w:t>Entry Price - 0.00% + Specific 100%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2208 40 00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2208 90 91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2208 90 99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2209 00 00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2303 10 11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2306 90 19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2307 00 19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2308 00 19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2308 00 90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2309 10 13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2309 10 15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2309 10 19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2309 10 33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2309 10 39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2309 10 51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2309 10 53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2309 10 59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2309 10 70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2309 90 33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2309 90 35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2309 90 43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2309 90 53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2309 90 96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lastRenderedPageBreak/>
              <w:t>2501 00 51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2501 00 91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2501 00 99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2503 00 90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2519 90 10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2522 00 00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2523 00 00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2900 00 00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3401 30 00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3402 11 90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3402 12 00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3402 13 00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3402 19 00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3402 20 00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3402 90 00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3403 00 00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3900 00 00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4302 19 41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4302 19 49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4302 19 80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4302 19 99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4302 30 00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4303 00 00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4304 00 00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4503 00 00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4504 00 00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4600 00 00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5105 00 00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5106 00 00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5107 00 00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5108 00 00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5109 00 00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5110 00 00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5111 00 00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5112 00 00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5113 00 00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5306 00 00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5308 00 00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5309 00 00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5310 00 00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5311 00 00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lastRenderedPageBreak/>
              <w:t>5500 00 00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5900 00 00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6000 00 00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6100 00 00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6200 00 00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6300 00 00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6400 00 00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6500 00 00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6600 00 00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6700 00 00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6800 00 00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6900 00 00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7113 00 00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7114 00 00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7115 90 00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7116 20 80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7117 00 00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7201 00 00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7202 00 00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7302 30 00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7315 00 00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7316 00 00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7318 00 00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7319 00 00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7320 00 00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7321 00 00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7322 00 00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7323 00 00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7324 00 00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7325 00 00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7326 00 00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7407 00 00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7408 00 00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7409 00 00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7410 00 00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7411 00 00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7412 00 00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7413 00 00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7415 00 00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7418 00 00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7419 00 00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7505 12 00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7505 22 00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7506 20 00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7507 20 00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7900 00 00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lastRenderedPageBreak/>
              <w:t>8100 00 00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8200 00 00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8300 00 00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8400 00 00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8500 00 00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8600 00 00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8700 00 00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8800 00 00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8900 00 00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9000 00 00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9100 00 00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9200 00 00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9300 00 00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9400 00 00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9500 00 00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r w:rsidR="00860100" w:rsidTr="00860100">
        <w:trPr>
          <w:cantSplit/>
        </w:trPr>
        <w:tc>
          <w:tcPr>
            <w:tcW w:w="0" w:type="auto"/>
            <w:tcBorders>
              <w:top w:val="single" w:sz="4" w:space="0" w:color="A6A6A6" w:themeColor="background1" w:themeShade="A6"/>
              <w:right w:val="single" w:sz="4" w:space="0" w:color="000000" w:themeColor="text1"/>
            </w:tcBorders>
          </w:tcPr>
          <w:p w:rsidR="00860100" w:rsidRDefault="006515F0">
            <w:pPr>
              <w:pStyle w:val="NormalinTable"/>
            </w:pPr>
            <w:r>
              <w:rPr>
                <w:b/>
              </w:rPr>
              <w:t>9600 00 00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860100" w:rsidRDefault="006515F0">
            <w:pPr>
              <w:pStyle w:val="NormalinTable"/>
              <w:tabs>
                <w:tab w:val="left" w:pos="1250"/>
              </w:tabs>
            </w:pPr>
            <w:r>
              <w:t>0.00%</w:t>
            </w:r>
          </w:p>
        </w:tc>
      </w:tr>
    </w:tbl>
    <w:p w:rsidR="00860100" w:rsidRDefault="006515F0">
      <w:pPr>
        <w:pStyle w:val="Heading3"/>
      </w:pPr>
      <w:r>
        <w:t>Entry Price Goods (regulation 4 of the Regulations)</w:t>
      </w:r>
    </w:p>
    <w:p w:rsidR="00860100" w:rsidRDefault="006515F0">
      <w:pPr>
        <w:pStyle w:val="Numberedlist"/>
      </w:pPr>
      <w:r>
        <w:t xml:space="preserve">For goods classified under a commodity code that has "Entry </w:t>
      </w:r>
      <w:r>
        <w:t>Price" shown in the same row in column 2 of the Preferential Duty Tariff Table, the duty rate is determined by adding the first percentage value in column 2 to the Specific percentage value in column 2.</w:t>
      </w:r>
    </w:p>
    <w:p w:rsidR="00860100" w:rsidRDefault="006515F0">
      <w:pPr>
        <w:pStyle w:val="Numberedlist"/>
      </w:pPr>
      <w:r>
        <w:t xml:space="preserve">A "Specific" duty is a duty expression (or component </w:t>
      </w:r>
      <w:r>
        <w:t>of a duty expression) making reference to a measure of quantity.</w:t>
      </w:r>
    </w:p>
    <w:p w:rsidR="00860100" w:rsidRDefault="006515F0">
      <w:pPr>
        <w:pStyle w:val="Numberedlist"/>
      </w:pPr>
      <w:r>
        <w:t>The first percentage value in column 2 after the words "Entry Price" is a percentage of the by-value UK WTO Most Favoured Nation (MFN) rate for the goods classified under the relevant commodi</w:t>
      </w:r>
      <w:r>
        <w:t>ty code, in the relevant row of the Tariff Table in Annex II of the Tariff of the United Kingdom version 1.0 of [xx yyy] 2019 made under the Tariff Regulations.</w:t>
      </w:r>
    </w:p>
    <w:p w:rsidR="00860100" w:rsidRDefault="006515F0">
      <w:pPr>
        <w:pStyle w:val="Numberedlist"/>
      </w:pPr>
      <w:r>
        <w:t>The second "Specific" percentage value is a percentage of the Standard Rate of Import Duty spec</w:t>
      </w:r>
      <w:r>
        <w:t>ific component for the goods classified under the relevant commodity code, in the relevant row of the Tariff Table in Annex II of the Tariff of the United Kingdom version 1.0 of [xx yyy] 2019.</w:t>
      </w:r>
    </w:p>
    <w:p w:rsidR="00860100" w:rsidRDefault="006515F0">
      <w:pPr>
        <w:pStyle w:val="Heading3"/>
      </w:pPr>
      <w:r>
        <w:t xml:space="preserve">Complex Agricultural Duty Goods (regulation 5 of the </w:t>
      </w:r>
      <w:r>
        <w:t>Regulations)</w:t>
      </w:r>
    </w:p>
    <w:p w:rsidR="00860100" w:rsidRDefault="006515F0">
      <w:pPr>
        <w:pStyle w:val="Numberedlist"/>
      </w:pPr>
      <w:r>
        <w:t>For goods classified under a commodity code that has "CAD" shown in the same row in column 2 of the Preferential Duty Tariff Table in Annex I, the duty rate is determined by adding the first percentage value in column 2 to the following Specif</w:t>
      </w:r>
      <w:r>
        <w:t>ic percentage values in that column.</w:t>
      </w:r>
    </w:p>
    <w:p w:rsidR="00860100" w:rsidRDefault="006515F0">
      <w:pPr>
        <w:pStyle w:val="Numberedlist"/>
      </w:pPr>
      <w:r>
        <w:t>The first percentage in column 2 after the word "CAD" is a percentage of the value of the goods to be imported.</w:t>
      </w:r>
    </w:p>
    <w:p w:rsidR="00860100" w:rsidRDefault="006515F0">
      <w:pPr>
        <w:pStyle w:val="Numberedlist"/>
      </w:pPr>
      <w:r>
        <w:t>Where in the formula in column 2 "AC" is shown, the "AC" (agricultural component) percentage value is a per</w:t>
      </w:r>
      <w:r>
        <w:t xml:space="preserve">centage of the AC for the goods classified under the relevant commodity code, in the relevant row of the Tariff Table in Annex II, Appendix B of the Customs Tariff of the United Kingdom version 1.0 of [xx yyy] 2019 made under the Tariff Regulations. Where </w:t>
      </w:r>
      <w:r>
        <w:t>"AC MAX" is shown, the following percentage value is the maximum AC Value that can be charged for the relevant good.</w:t>
      </w:r>
    </w:p>
    <w:p w:rsidR="00860100" w:rsidRDefault="006515F0">
      <w:pPr>
        <w:pStyle w:val="Numberedlist"/>
      </w:pPr>
      <w:r>
        <w:t>Where in the formula in column 2 "SD" is shown, the "SD" (sugar duty) is the SD component for the goods classified under the relevant commo</w:t>
      </w:r>
      <w:r>
        <w:t>dity code, in the relevant row of the Tariff Table in Annex II of the Tariff of the United Kingdom version 1.0 of [xx yyy] 2019 made under the Tariff Regulations.</w:t>
      </w:r>
    </w:p>
    <w:p w:rsidR="00860100" w:rsidRDefault="006515F0">
      <w:pPr>
        <w:pStyle w:val="Numberedlist"/>
      </w:pPr>
      <w:r>
        <w:lastRenderedPageBreak/>
        <w:t>Where in the formula in column 2 "FD" is shown, the "FD" (flour duty) is the FD component for</w:t>
      </w:r>
      <w:r>
        <w:t xml:space="preserve"> the goods classified under the relevant commodity code, in the relevant row of the Tariff Table in Annex II of the Tariff of the United Kingdom version 1.0 of [xx yyy] 2019 made under the Tariff Regulations.</w:t>
      </w:r>
    </w:p>
    <w:p w:rsidR="00860100" w:rsidRDefault="006515F0">
      <w:pPr>
        <w:pStyle w:val="Numberedlist"/>
      </w:pPr>
      <w:r>
        <w:t>In column 2 of the Preferential Duty Tariff Tab</w:t>
      </w:r>
      <w:r>
        <w:t>le, the percentage shown outside the brackets at the end of the formula is the percentage of the formula inside the brackets that is to be charged for the relevant goods.</w:t>
      </w:r>
    </w:p>
    <w:p w:rsidR="00860100" w:rsidRDefault="006515F0">
      <w:pPr>
        <w:pStyle w:val="Numberedlist"/>
      </w:pPr>
      <w:r>
        <w:t>Where, in the formula in column 2 "CAD" is shown and there is no Specific component i</w:t>
      </w:r>
      <w:r>
        <w:t>n the relevant row of the Tariff Table in Annex II of the Tariff of the United Kingdom version 1.0 of [xx yyy] 2019, the duty rate will be the by-value percentage with no additional Specific component added.</w:t>
      </w:r>
    </w:p>
    <w:p w:rsidR="00860100" w:rsidRDefault="006515F0">
      <w:pPr>
        <w:pStyle w:val="Heading3"/>
      </w:pPr>
      <w:r>
        <w:t>Authorised Use Goods (regulation 6 of the Regula</w:t>
      </w:r>
      <w:r>
        <w:t>tions)</w:t>
      </w:r>
    </w:p>
    <w:p w:rsidR="00860100" w:rsidRDefault="006515F0">
      <w:pPr>
        <w:pStyle w:val="Numberedlist"/>
      </w:pPr>
      <w:r>
        <w:t>Authorised use goods, as identified under regulation 6(1) of the Regulations, which meet the conditions of regulation 6(2) of the Regulations attract the relevant duty rates shown in column 2.</w:t>
      </w:r>
    </w:p>
    <w:p w:rsidR="00860100" w:rsidRDefault="006515F0">
      <w:pPr>
        <w:pStyle w:val="Heading1"/>
      </w:pPr>
      <w:r>
        <w:t>ANNEX II</w:t>
      </w:r>
      <w:r>
        <w:br/>
        <w:t>PREFERENTIAL QUOTA TABLE</w:t>
      </w:r>
    </w:p>
    <w:p w:rsidR="00860100" w:rsidRDefault="006515F0">
      <w:pPr>
        <w:pStyle w:val="Numberedlist-quotas"/>
      </w:pPr>
      <w:r>
        <w:t>This table sets out th</w:t>
      </w:r>
      <w:r>
        <w:t>e preferential quota duty rates for the Agreement, under regulation 4 of the Regulations.</w:t>
      </w:r>
    </w:p>
    <w:p w:rsidR="00860100" w:rsidRDefault="006515F0">
      <w:pPr>
        <w:pStyle w:val="Numberedlist-quotas"/>
      </w:pPr>
      <w:r>
        <w:t>The Quota Number in column 1 is defined in regulation 3(4) of the Regulations.</w:t>
      </w:r>
    </w:p>
    <w:p w:rsidR="00860100" w:rsidRDefault="006515F0">
      <w:pPr>
        <w:pStyle w:val="Numberedlist-quotas"/>
      </w:pPr>
      <w:r>
        <w:t xml:space="preserve">The Origin Quota in column 2 is an identifier for origin quota goods. Where, for a </w:t>
      </w:r>
      <w:r>
        <w:t>quota number, "Yes" is shown in column 2, the preferential origin quota duty rate can only be obtained if the goods qualify for preferential origin quota treatment, are within the quota volumes and meet the other conditions for the origin quota under the R</w:t>
      </w:r>
      <w:r>
        <w:t>egulations.</w:t>
      </w:r>
    </w:p>
    <w:p w:rsidR="00860100" w:rsidRDefault="006515F0">
      <w:pPr>
        <w:pStyle w:val="Numberedlist-quotas"/>
      </w:pPr>
      <w:r>
        <w:t>The Commodity Code in column 3 is the commodity code classifying the goods.</w:t>
      </w:r>
    </w:p>
    <w:p w:rsidR="00860100" w:rsidRDefault="006515F0">
      <w:pPr>
        <w:pStyle w:val="Numberedlist-quotas"/>
      </w:pPr>
      <w:r>
        <w:t>The Quota Duty Rate in column 4 is defined in regulation 3(2) of the Regulations.</w:t>
      </w:r>
    </w:p>
    <w:p w:rsidR="00860100" w:rsidRDefault="006515F0">
      <w:pPr>
        <w:pStyle w:val="Numberedlist-quotas"/>
      </w:pPr>
      <w:r>
        <w:t>The Quota Volume in column 5 is the maximum quantity of quota goods that can be import</w:t>
      </w:r>
      <w:r>
        <w:t>ed under the quota during the quota period in any year under regulation 9 of the Regulations. Where a volume is followed by "(2019)", the volume applies for the year 2019.</w:t>
      </w:r>
    </w:p>
    <w:p w:rsidR="00860100" w:rsidRDefault="006515F0">
      <w:pPr>
        <w:pStyle w:val="Numberedlist-quotas"/>
      </w:pPr>
      <w:r>
        <w:t>The Quota Open Date in column 6 is the date on which the quota period commences unde</w:t>
      </w:r>
      <w:r>
        <w:t>r regulation 9 of the Regulations.</w:t>
      </w:r>
    </w:p>
    <w:p w:rsidR="00860100" w:rsidRDefault="006515F0">
      <w:pPr>
        <w:pStyle w:val="Numberedlist-quotas"/>
      </w:pPr>
      <w:r>
        <w:t>The Quota Close Date in column 7 is the date on which the quota period ends under regulations 9(1), 9(3) and 9(4) of the Regulations.</w:t>
      </w:r>
    </w:p>
    <w:tbl>
      <w:tblPr>
        <w:tblStyle w:val="ListTable3"/>
        <w:tblW w:w="0" w:type="auto"/>
        <w:tblLook w:val="0220" w:firstRow="1" w:lastRow="0" w:firstColumn="0" w:lastColumn="0" w:noHBand="1" w:noVBand="0"/>
      </w:tblPr>
      <w:tblGrid>
        <w:gridCol w:w="856"/>
        <w:gridCol w:w="750"/>
        <w:gridCol w:w="1178"/>
        <w:gridCol w:w="2357"/>
        <w:gridCol w:w="1713"/>
        <w:gridCol w:w="1071"/>
        <w:gridCol w:w="1071"/>
      </w:tblGrid>
      <w:tr w:rsidR="00860100" w:rsidTr="00860100">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8" w:type="pct"/>
            <w:tcBorders>
              <w:left w:val="single" w:sz="12" w:space="0" w:color="000000" w:themeColor="text1"/>
              <w:right w:val="single" w:sz="12" w:space="0" w:color="000000" w:themeColor="text1"/>
            </w:tcBorders>
          </w:tcPr>
          <w:p w:rsidR="00860100" w:rsidRDefault="006515F0">
            <w:pPr>
              <w:pStyle w:val="NormalinTable"/>
            </w:pPr>
            <w:r>
              <w:t>1</w:t>
            </w:r>
          </w:p>
        </w:tc>
        <w:tc>
          <w:tcPr>
            <w:tcW w:w="7" w:type="pct"/>
            <w:tcBorders>
              <w:left w:val="single" w:sz="12" w:space="0" w:color="000000" w:themeColor="text1"/>
              <w:right w:val="single" w:sz="12" w:space="0" w:color="000000" w:themeColor="text1"/>
            </w:tcBorders>
          </w:tcPr>
          <w:p w:rsidR="00860100" w:rsidRDefault="006515F0">
            <w:pPr>
              <w:pStyle w:val="NormalinTable"/>
              <w:cnfStyle w:val="100000000000" w:firstRow="1"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11" w:type="pct"/>
            <w:tcBorders>
              <w:left w:val="single" w:sz="12" w:space="0" w:color="000000" w:themeColor="text1"/>
              <w:right w:val="single" w:sz="12" w:space="0" w:color="000000" w:themeColor="text1"/>
            </w:tcBorders>
          </w:tcPr>
          <w:p w:rsidR="00860100" w:rsidRDefault="006515F0">
            <w:pPr>
              <w:pStyle w:val="NormalinTable"/>
            </w:pPr>
            <w:r>
              <w:t>3</w:t>
            </w:r>
          </w:p>
        </w:tc>
        <w:tc>
          <w:tcPr>
            <w:tcW w:w="22" w:type="pct"/>
            <w:tcBorders>
              <w:left w:val="single" w:sz="12" w:space="0" w:color="000000" w:themeColor="text1"/>
              <w:right w:val="single" w:sz="12" w:space="0" w:color="000000" w:themeColor="text1"/>
            </w:tcBorders>
          </w:tcPr>
          <w:p w:rsidR="00860100" w:rsidRDefault="006515F0">
            <w:pPr>
              <w:pStyle w:val="NormalinTable"/>
              <w:cnfStyle w:val="100000000000" w:firstRow="1" w:lastRow="0" w:firstColumn="0" w:lastColumn="0" w:oddVBand="0" w:evenVBand="0" w:oddHBand="0"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16" w:type="pct"/>
            <w:tcBorders>
              <w:left w:val="single" w:sz="12" w:space="0" w:color="000000" w:themeColor="text1"/>
              <w:right w:val="single" w:sz="12" w:space="0" w:color="000000" w:themeColor="text1"/>
            </w:tcBorders>
          </w:tcPr>
          <w:p w:rsidR="00860100" w:rsidRDefault="006515F0">
            <w:pPr>
              <w:pStyle w:val="NormalinTable"/>
            </w:pPr>
            <w:r>
              <w:t>5</w:t>
            </w:r>
          </w:p>
        </w:tc>
        <w:tc>
          <w:tcPr>
            <w:tcW w:w="10" w:type="pct"/>
            <w:tcBorders>
              <w:left w:val="single" w:sz="12" w:space="0" w:color="000000" w:themeColor="text1"/>
              <w:right w:val="single" w:sz="12" w:space="0" w:color="000000" w:themeColor="text1"/>
            </w:tcBorders>
          </w:tcPr>
          <w:p w:rsidR="00860100" w:rsidRDefault="006515F0">
            <w:pPr>
              <w:pStyle w:val="NormalinTable"/>
              <w:cnfStyle w:val="100000000000" w:firstRow="1" w:lastRow="0" w:firstColumn="0" w:lastColumn="0" w:oddVBand="0" w:evenVBand="0" w:oddHBand="0" w:evenHBand="0" w:firstRowFirstColumn="0" w:firstRowLastColumn="0" w:lastRowFirstColumn="0" w:lastRowLastColumn="0"/>
            </w:pPr>
            <w:r>
              <w:t>6</w:t>
            </w:r>
          </w:p>
        </w:tc>
        <w:tc>
          <w:tcPr>
            <w:cnfStyle w:val="000010000000" w:firstRow="0" w:lastRow="0" w:firstColumn="0" w:lastColumn="0" w:oddVBand="1" w:evenVBand="0" w:oddHBand="0" w:evenHBand="0" w:firstRowFirstColumn="0" w:firstRowLastColumn="0" w:lastRowFirstColumn="0" w:lastRowLastColumn="0"/>
            <w:tcW w:w="10" w:type="pct"/>
            <w:tcBorders>
              <w:left w:val="single" w:sz="12" w:space="0" w:color="000000" w:themeColor="text1"/>
              <w:right w:val="single" w:sz="12" w:space="0" w:color="000000" w:themeColor="text1"/>
            </w:tcBorders>
          </w:tcPr>
          <w:p w:rsidR="00860100" w:rsidRDefault="006515F0">
            <w:pPr>
              <w:pStyle w:val="NormalinTable"/>
            </w:pPr>
            <w:r>
              <w:t>7</w:t>
            </w:r>
          </w:p>
        </w:tc>
      </w:tr>
      <w:tr w:rsidR="00860100" w:rsidTr="00860100">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8" w:type="pct"/>
            <w:tcBorders>
              <w:left w:val="single" w:sz="12" w:space="0" w:color="000000" w:themeColor="text1"/>
              <w:right w:val="single" w:sz="12" w:space="0" w:color="000000" w:themeColor="text1"/>
            </w:tcBorders>
          </w:tcPr>
          <w:p w:rsidR="00860100" w:rsidRDefault="006515F0">
            <w:pPr>
              <w:pStyle w:val="NormalinTable"/>
            </w:pPr>
            <w:r>
              <w:t>Quota Number</w:t>
            </w:r>
          </w:p>
        </w:tc>
        <w:tc>
          <w:tcPr>
            <w:tcW w:w="7" w:type="pct"/>
            <w:tcBorders>
              <w:left w:val="single" w:sz="12" w:space="0" w:color="000000" w:themeColor="text1"/>
              <w:right w:val="single" w:sz="12" w:space="0" w:color="000000" w:themeColor="text1"/>
            </w:tcBorders>
          </w:tcPr>
          <w:p w:rsidR="00860100" w:rsidRDefault="006515F0">
            <w:pPr>
              <w:pStyle w:val="NormalinTable"/>
              <w:cnfStyle w:val="100000000000" w:firstRow="1" w:lastRow="0" w:firstColumn="0" w:lastColumn="0" w:oddVBand="0" w:evenVBand="0" w:oddHBand="0" w:evenHBand="0" w:firstRowFirstColumn="0" w:firstRowLastColumn="0" w:lastRowFirstColumn="0" w:lastRowLastColumn="0"/>
            </w:pPr>
            <w:r>
              <w:t>Origin Quota</w:t>
            </w:r>
          </w:p>
        </w:tc>
        <w:tc>
          <w:tcPr>
            <w:cnfStyle w:val="000010000000" w:firstRow="0" w:lastRow="0" w:firstColumn="0" w:lastColumn="0" w:oddVBand="1" w:evenVBand="0" w:oddHBand="0" w:evenHBand="0" w:firstRowFirstColumn="0" w:firstRowLastColumn="0" w:lastRowFirstColumn="0" w:lastRowLastColumn="0"/>
            <w:tcW w:w="11" w:type="pct"/>
            <w:tcBorders>
              <w:left w:val="single" w:sz="12" w:space="0" w:color="000000" w:themeColor="text1"/>
              <w:right w:val="single" w:sz="12" w:space="0" w:color="000000" w:themeColor="text1"/>
            </w:tcBorders>
          </w:tcPr>
          <w:p w:rsidR="00860100" w:rsidRDefault="006515F0">
            <w:pPr>
              <w:pStyle w:val="NormalinTable"/>
            </w:pPr>
            <w:r>
              <w:t>Commodity Code</w:t>
            </w:r>
          </w:p>
        </w:tc>
        <w:tc>
          <w:tcPr>
            <w:tcW w:w="22" w:type="pct"/>
            <w:tcBorders>
              <w:left w:val="single" w:sz="12" w:space="0" w:color="000000" w:themeColor="text1"/>
              <w:right w:val="single" w:sz="12" w:space="0" w:color="000000" w:themeColor="text1"/>
            </w:tcBorders>
          </w:tcPr>
          <w:p w:rsidR="00860100" w:rsidRDefault="006515F0">
            <w:pPr>
              <w:pStyle w:val="NormalinTable"/>
              <w:cnfStyle w:val="100000000000" w:firstRow="1" w:lastRow="0" w:firstColumn="0" w:lastColumn="0" w:oddVBand="0" w:evenVBand="0" w:oddHBand="0" w:evenHBand="0" w:firstRowFirstColumn="0" w:firstRowLastColumn="0" w:lastRowFirstColumn="0" w:lastRowLastColumn="0"/>
            </w:pPr>
            <w:r>
              <w:t>Preferential Quota Duty Rate</w:t>
            </w:r>
          </w:p>
        </w:tc>
        <w:tc>
          <w:tcPr>
            <w:cnfStyle w:val="000010000000" w:firstRow="0" w:lastRow="0" w:firstColumn="0" w:lastColumn="0" w:oddVBand="1" w:evenVBand="0" w:oddHBand="0" w:evenHBand="0" w:firstRowFirstColumn="0" w:firstRowLastColumn="0" w:lastRowFirstColumn="0" w:lastRowLastColumn="0"/>
            <w:tcW w:w="16" w:type="pct"/>
            <w:tcBorders>
              <w:left w:val="single" w:sz="12" w:space="0" w:color="000000" w:themeColor="text1"/>
              <w:right w:val="single" w:sz="12" w:space="0" w:color="000000" w:themeColor="text1"/>
            </w:tcBorders>
          </w:tcPr>
          <w:p w:rsidR="00860100" w:rsidRDefault="006515F0">
            <w:pPr>
              <w:pStyle w:val="NormalinTable"/>
            </w:pPr>
            <w:r>
              <w:t>Qu</w:t>
            </w:r>
            <w:r>
              <w:t>ota Volume</w:t>
            </w:r>
          </w:p>
        </w:tc>
        <w:tc>
          <w:tcPr>
            <w:tcW w:w="10" w:type="pct"/>
            <w:tcBorders>
              <w:left w:val="single" w:sz="12" w:space="0" w:color="000000" w:themeColor="text1"/>
              <w:right w:val="single" w:sz="12" w:space="0" w:color="000000" w:themeColor="text1"/>
            </w:tcBorders>
          </w:tcPr>
          <w:p w:rsidR="00860100" w:rsidRDefault="006515F0">
            <w:pPr>
              <w:pStyle w:val="NormalinTable"/>
              <w:cnfStyle w:val="100000000000" w:firstRow="1" w:lastRow="0" w:firstColumn="0" w:lastColumn="0" w:oddVBand="0" w:evenVBand="0" w:oddHBand="0" w:evenHBand="0" w:firstRowFirstColumn="0" w:firstRowLastColumn="0" w:lastRowFirstColumn="0" w:lastRowLastColumn="0"/>
            </w:pPr>
            <w:r>
              <w:t>Quota Open Date</w:t>
            </w:r>
          </w:p>
        </w:tc>
        <w:tc>
          <w:tcPr>
            <w:cnfStyle w:val="000010000000" w:firstRow="0" w:lastRow="0" w:firstColumn="0" w:lastColumn="0" w:oddVBand="1" w:evenVBand="0" w:oddHBand="0" w:evenHBand="0" w:firstRowFirstColumn="0" w:firstRowLastColumn="0" w:lastRowFirstColumn="0" w:lastRowLastColumn="0"/>
            <w:tcW w:w="10" w:type="pct"/>
            <w:tcBorders>
              <w:left w:val="single" w:sz="12" w:space="0" w:color="000000" w:themeColor="text1"/>
              <w:right w:val="single" w:sz="12" w:space="0" w:color="000000" w:themeColor="text1"/>
            </w:tcBorders>
          </w:tcPr>
          <w:p w:rsidR="00860100" w:rsidRDefault="006515F0">
            <w:pPr>
              <w:pStyle w:val="NormalinTable"/>
            </w:pPr>
            <w:r>
              <w:t>Quota Close Date</w:t>
            </w:r>
          </w:p>
        </w:tc>
      </w:tr>
      <w:tr w:rsidR="00860100" w:rsidTr="00860100">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860100" w:rsidRDefault="006515F0">
            <w:pPr>
              <w:pStyle w:val="NormalinTable"/>
            </w:pPr>
            <w:r>
              <w:rPr>
                <w:b/>
              </w:rPr>
              <w:t>096820</w:t>
            </w:r>
          </w:p>
        </w:tc>
        <w:tc>
          <w:tcPr>
            <w:tcW w:w="0" w:type="auto"/>
            <w:vMerge w:val="restart"/>
            <w:tcBorders>
              <w:top w:val="single" w:sz="12" w:space="0" w:color="000000" w:themeColor="background1" w:themeShade="00"/>
            </w:tcBorders>
          </w:tcPr>
          <w:p w:rsidR="00860100" w:rsidRDefault="00860100">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860100" w:rsidRDefault="006515F0">
            <w:pPr>
              <w:pStyle w:val="NormalinTable"/>
            </w:pPr>
            <w:r>
              <w:t>0703 20 00</w:t>
            </w:r>
          </w:p>
        </w:tc>
        <w:tc>
          <w:tcPr>
            <w:tcW w:w="0" w:type="auto"/>
            <w:vMerge w:val="restart"/>
            <w:tcBorders>
              <w:top w:val="single" w:sz="12" w:space="0" w:color="000000" w:themeColor="background1" w:themeShade="00"/>
            </w:tcBorders>
          </w:tcPr>
          <w:p w:rsidR="00860100" w:rsidRDefault="006515F0">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860100" w:rsidRDefault="006515F0">
            <w:pPr>
              <w:pStyle w:val="NormalinTable"/>
            </w:pPr>
            <w:r>
              <w:t>30,000 kg</w:t>
            </w:r>
          </w:p>
        </w:tc>
        <w:tc>
          <w:tcPr>
            <w:tcW w:w="0" w:type="auto"/>
            <w:vMerge w:val="restart"/>
            <w:tcBorders>
              <w:top w:val="single" w:sz="12" w:space="0" w:color="000000" w:themeColor="background1" w:themeShade="00"/>
            </w:tcBorders>
          </w:tcPr>
          <w:p w:rsidR="00860100" w:rsidRDefault="006515F0">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860100" w:rsidRDefault="006515F0">
            <w:pPr>
              <w:pStyle w:val="NormalinTable"/>
            </w:pPr>
            <w:r>
              <w:t>31/12</w:t>
            </w:r>
          </w:p>
        </w:tc>
      </w:tr>
    </w:tbl>
    <w:p w:rsidR="00860100" w:rsidRDefault="006515F0">
      <w:pPr>
        <w:pStyle w:val="Heading3"/>
      </w:pPr>
      <w:r>
        <w:t>Entry Price Goods (regulation 4 of the Regulations)</w:t>
      </w:r>
    </w:p>
    <w:p w:rsidR="00860100" w:rsidRDefault="006515F0">
      <w:pPr>
        <w:pStyle w:val="Numberedlist-quotas"/>
      </w:pPr>
      <w:r>
        <w:t xml:space="preserve">The provisions (4-7) in Annex I apply as if the reference to column 2 of the Preferential Duty Tariff </w:t>
      </w:r>
      <w:r>
        <w:t>Table in Annex I were a reference to column 4 of the Preferential Quota Table in this Annex.</w:t>
      </w:r>
    </w:p>
    <w:p w:rsidR="00860100" w:rsidRDefault="006515F0">
      <w:pPr>
        <w:pStyle w:val="Heading3"/>
      </w:pPr>
      <w:r>
        <w:lastRenderedPageBreak/>
        <w:t>Complex Agricultural Duty Goods (regulation 5 of the Regulations)</w:t>
      </w:r>
    </w:p>
    <w:p w:rsidR="00860100" w:rsidRDefault="006515F0">
      <w:pPr>
        <w:pStyle w:val="Numberedlist-quotas"/>
      </w:pPr>
      <w:r>
        <w:t xml:space="preserve">The provisions (8-14) in Annex I apply as if the reference to column 2 of the </w:t>
      </w:r>
      <w:r>
        <w:t>Preferential Duty Tariff Table in Annex I were a reference to column 4 of the Preferential Quota Table in this Annex.</w:t>
      </w:r>
    </w:p>
    <w:p w:rsidR="00860100" w:rsidRDefault="006515F0">
      <w:pPr>
        <w:pStyle w:val="Heading3"/>
      </w:pPr>
      <w:r>
        <w:t>Authorised Use Goods (regulation 6 of the Regulations)</w:t>
      </w:r>
    </w:p>
    <w:p w:rsidR="00860100" w:rsidRDefault="006515F0">
      <w:pPr>
        <w:pStyle w:val="Numberedlist-quotas"/>
      </w:pPr>
      <w:r>
        <w:t>The provision (15) in Annex I applies as if the reference to column 2 of the Prefer</w:t>
      </w:r>
      <w:r>
        <w:t>ential Duty Tariff Table in Annex I were a reference to column 4 of the Preferential Quota Table in this Annex.</w:t>
      </w:r>
    </w:p>
    <w:sectPr w:rsidR="00860100">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15F0" w:rsidRDefault="006515F0" w:rsidP="00A0507B">
      <w:pPr>
        <w:spacing w:after="0" w:line="240" w:lineRule="auto"/>
      </w:pPr>
      <w:r>
        <w:separator/>
      </w:r>
    </w:p>
  </w:endnote>
  <w:endnote w:type="continuationSeparator" w:id="0">
    <w:p w:rsidR="006515F0" w:rsidRDefault="006515F0"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6515F0" w:rsidP="00161299">
    <w:pPr>
      <w:pStyle w:val="Footer"/>
      <w:jc w:val="left"/>
      <w:rPr>
        <w:color w:val="808080" w:themeColor="background1" w:themeShade="80"/>
      </w:rPr>
    </w:pPr>
    <w:r>
      <w:rPr>
        <w:color w:val="808080" w:themeColor="background1" w:themeShade="80"/>
      </w:rPr>
      <w:tab/>
    </w:r>
    <w:r w:rsidRPr="00B81279">
      <w:rPr>
        <w:color w:val="808080" w:themeColor="background1" w:themeShade="80"/>
      </w:rPr>
      <w:t>OFFICIAL SENSITIVE DRAFT</w:t>
    </w:r>
    <w:r w:rsidRPr="00B81279">
      <w:rPr>
        <w:color w:val="808080" w:themeColor="background1" w:themeShade="80"/>
      </w:rPr>
      <w:tab/>
    </w:r>
    <w:r w:rsidRPr="00B81279">
      <w:rPr>
        <w:color w:val="808080" w:themeColor="background1" w:themeShade="80"/>
      </w:rPr>
      <w:t xml:space="preserve">Page </w:t>
    </w:r>
    <w:r w:rsidRPr="00B81279">
      <w:rPr>
        <w:color w:val="808080" w:themeColor="background1" w:themeShade="80"/>
      </w:rPr>
      <w:fldChar w:fldCharType="begin"/>
    </w:r>
    <w:r w:rsidRPr="00B81279">
      <w:rPr>
        <w:color w:val="808080" w:themeColor="background1" w:themeShade="80"/>
      </w:rPr>
      <w:instrText xml:space="preserve"> PAGE   \* MERGEFORMAT </w:instrText>
    </w:r>
    <w:r w:rsidRPr="00B81279">
      <w:rPr>
        <w:color w:val="808080" w:themeColor="background1" w:themeShade="80"/>
      </w:rPr>
      <w:fldChar w:fldCharType="separate"/>
    </w:r>
    <w:r w:rsidRPr="00B81279">
      <w:rPr>
        <w:noProof/>
        <w:color w:val="808080" w:themeColor="background1" w:themeShade="80"/>
      </w:rPr>
      <w:t>1</w:t>
    </w:r>
    <w:r w:rsidRPr="00B81279">
      <w:rPr>
        <w:color w:val="808080" w:themeColor="background1" w:themeShade="80"/>
      </w:rPr>
      <w:fldChar w:fldCharType="end"/>
    </w:r>
    <w:r w:rsidRPr="00B81279">
      <w:rPr>
        <w:color w:val="808080" w:themeColor="background1" w:themeShade="80"/>
      </w:rPr>
      <w:t xml:space="preserve"> of </w:t>
    </w:r>
    <w:r w:rsidRPr="00B81279">
      <w:rPr>
        <w:noProof/>
        <w:color w:val="808080" w:themeColor="background1" w:themeShade="80"/>
      </w:rPr>
      <w:fldChar w:fldCharType="begin"/>
    </w:r>
    <w:r w:rsidRPr="00B81279">
      <w:rPr>
        <w:noProof/>
        <w:color w:val="808080" w:themeColor="background1" w:themeShade="80"/>
      </w:rPr>
      <w:instrText xml:space="preserve"> NUMPAGES   \* MERGEFORMAT </w:instrText>
    </w:r>
    <w:r w:rsidRPr="00B81279">
      <w:rPr>
        <w:noProof/>
        <w:color w:val="808080" w:themeColor="background1" w:themeShade="80"/>
      </w:rPr>
      <w:fldChar w:fldCharType="separate"/>
    </w:r>
    <w:r w:rsidRPr="00B81279">
      <w:rPr>
        <w:noProof/>
        <w:color w:val="808080" w:themeColor="background1" w:themeShade="80"/>
      </w:rPr>
      <w:t>4</w:t>
    </w:r>
    <w:r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6515F0"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15F0" w:rsidRDefault="006515F0">
      <w:pPr>
        <w:spacing w:after="0" w:line="240" w:lineRule="auto"/>
      </w:pPr>
      <w:r>
        <w:separator/>
      </w:r>
    </w:p>
  </w:footnote>
  <w:footnote w:type="continuationSeparator" w:id="0">
    <w:p w:rsidR="006515F0" w:rsidRDefault="0065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6515F0"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9"/>
  </w:num>
  <w:num w:numId="3">
    <w:abstractNumId w:val="9"/>
  </w:num>
  <w:num w:numId="4">
    <w:abstractNumId w:val="9"/>
  </w:num>
  <w:num w:numId="5">
    <w:abstractNumId w:val="9"/>
  </w:num>
  <w:num w:numId="6">
    <w:abstractNumId w:val="9"/>
  </w:num>
  <w:num w:numId="7">
    <w:abstractNumId w:val="3"/>
  </w:num>
  <w:num w:numId="8">
    <w:abstractNumId w:val="1"/>
  </w:num>
  <w:num w:numId="9">
    <w:abstractNumId w:val="8"/>
  </w:num>
  <w:num w:numId="10">
    <w:abstractNumId w:val="6"/>
  </w:num>
  <w:num w:numId="11">
    <w:abstractNumId w:val="4"/>
  </w:num>
  <w:num w:numId="12">
    <w:abstractNumId w:val="10"/>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41026"/>
    <w:rsid w:val="000530A2"/>
    <w:rsid w:val="00195E3D"/>
    <w:rsid w:val="00211B1B"/>
    <w:rsid w:val="00262B5D"/>
    <w:rsid w:val="003D7081"/>
    <w:rsid w:val="00447040"/>
    <w:rsid w:val="006515F0"/>
    <w:rsid w:val="00763606"/>
    <w:rsid w:val="0084670B"/>
    <w:rsid w:val="00860100"/>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06BB3"/>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b/>
      <w:smallCaps/>
      <w:sz w:val="28"/>
      <w:szCs w:val="32"/>
    </w:rPr>
  </w:style>
  <w:style w:type="paragraph" w:styleId="Heading2">
    <w:name w:val="heading 2"/>
    <w:basedOn w:val="Normal"/>
    <w:next w:val="Normal"/>
    <w:uiPriority w:val="9"/>
    <w:qFormat/>
    <w:pPr>
      <w:keepNext/>
      <w:keepLines/>
      <w:spacing w:before="240"/>
      <w:jc w:val="center"/>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D3E6A-972B-964D-A7B3-031ABEC33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2748</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Georgia, version 1.0, dated 1 November 2019</dc:title>
  <dc:subject/>
  <dc:creator>Department for International Trade - Trade Policy Group</dc:creator>
  <cp:keywords>Georgia</cp:keywords>
  <dc:description/>
  <cp:lastModifiedBy>Matt Lavis</cp:lastModifiedBy>
  <cp:revision>6</cp:revision>
  <dcterms:created xsi:type="dcterms:W3CDTF">2018-10-02T15:43:00Z</dcterms:created>
  <dcterms:modified xsi:type="dcterms:W3CDTF">2019-10-23T11:50:00Z</dcterms:modified>
</cp:coreProperties>
</file>