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Lebanon,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Lebanon,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1.20%</w:t>
            </w:r>
            <w:r>
              <w:br/>
            </w:r>
            <w:r>
              <w:t>16/10 to 30/11</w:t>
            </w:r>
            <w:r>
              <w:tab/>
              <w:t>6.40%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6.40%</w:t>
            </w:r>
            <w:r>
              <w:br/>
            </w:r>
            <w:r>
              <w:t>01/04 to 15/10</w:t>
            </w:r>
            <w:r>
              <w:tab/>
              <w:t>4.80%</w:t>
            </w:r>
            <w:r>
              <w:br/>
            </w:r>
            <w:r>
              <w:t>16/10 to 31/12</w:t>
            </w:r>
            <w:r>
              <w:tab/>
              <w:t>6.40%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6.40%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31/05</w:t>
            </w:r>
            <w:r>
              <w:tab/>
              <w:t>0.00%</w:t>
            </w:r>
            <w:r>
              <w:br/>
            </w:r>
            <w:r>
              <w:t>12/07 to 20/07</w:t>
            </w:r>
            <w:r>
              <w:tab/>
              <w:t>0.00%</w:t>
            </w:r>
            <w:r>
              <w:br/>
            </w:r>
            <w:r>
              <w:t>21/07 to 30/09</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2.80% MIN 0.360 €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0.360 €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8.00%</w:t>
            </w:r>
            <w:r>
              <w:br/>
            </w:r>
            <w:r>
              <w:t>01/06 to 31/07</w:t>
            </w:r>
            <w:r>
              <w:tab/>
              <w:t>Entry Price - 0.00% + Specific 100%</w:t>
            </w:r>
            <w:r>
              <w:br/>
            </w:r>
            <w:r>
              <w:t>01/08 to 31/12</w:t>
            </w:r>
            <w:r>
              <w:tab/>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4.80%</w:t>
            </w:r>
            <w:r>
              <w:br/>
            </w:r>
            <w:r>
              <w:t>01/05 to 20/05</w:t>
            </w:r>
            <w:r>
              <w:tab/>
              <w:t>4.80% MIN 2.400 € / 100 kg</w:t>
            </w:r>
            <w:r>
              <w:br/>
            </w:r>
            <w:r>
              <w:t>21/05 to 10/08</w:t>
            </w:r>
            <w:r>
              <w:tab/>
              <w:t>Entry Price - 0.00% + Specific 100%</w:t>
            </w:r>
            <w:r>
              <w:br/>
            </w:r>
            <w:r>
              <w:t>11/08 to 31/12</w:t>
            </w:r>
            <w:r>
              <w:tab/>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4.80%</w:t>
            </w:r>
            <w:r>
              <w:br/>
            </w:r>
            <w:r>
              <w:t>01/05 to 20/05</w:t>
            </w:r>
            <w:r>
              <w:tab/>
              <w:t>4.80% MIN 2.400 € / 100 kg</w:t>
            </w:r>
            <w:r>
              <w:br/>
            </w:r>
            <w:r>
              <w:t>21/05 to 10/08</w:t>
            </w:r>
            <w:r>
              <w:tab/>
              <w:t>Entry Price - 0.00% + Specific 100%</w:t>
            </w:r>
            <w:r>
              <w:br/>
            </w:r>
            <w:r>
              <w:t>11/08 to 31/12</w:t>
            </w:r>
            <w:r>
              <w:tab/>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01/09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01/09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3,677,000 kg + an addition of 136,000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7,354,000 kg + an addition of 272,000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01/06</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0701 90 90 10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7,354,000 kg + an addition of 272,000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2,996,000 kg + an addition of 136,000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+ 120.000 €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3.80% + 120.000 €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 Suspension period for quota between 01/05 - 31/05</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 Suspension period for quota between 01/05 - 31/05</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817,000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11/07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4.60%</w:t>
            </w:r>
          </w:p>
        </w:tc>
        <!-- End Preferential Quota Duty Rate cell //-->
        <!-- Begin Quota Volume cell //-->
        <w:tc>
          <w:tcPr>
            <w:tcBorders>
              <w:top w:val="single" w:sz="12" w:space="0" w:color="000000" w:themeColor="background1" w:themeShade="00"/>
            </w:tcBorders>
          </w:tcPr>
          <w:tcPr>
            <w:vMerge w:val="restart"/>
          </w:tcPr>
          <w:p>
            <w:pPr>
              <w:pStyle w:val="NormalinTable"/>
            </w:pPr>
            <w:r>
              <w:t>545,000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11/07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0808 10 10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0.360 €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1,362,000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0808 10 80</w:t>
            </w:r>
          </w:p>
        </w:tc>
        <!-- End commodity code cell //-->
        <!-- Begin Preferential Quota Duty Rate cell //-->
        <w:tc>
          <w:tcPr>
            <w:tcBorders>
              <w:top w:val="single" w:sz="4" w:space="0" w:color="666666" w:themeColor="background1" w:themeShade="A6"/>
            </w:tcBorders>
          </w:tcPr>
          <w:tcPr>
            <w:vMerge w:val="restart"/>
          </w:tcPr>
          <w:p>
            <w:pPr>
              <w:pStyle w:val="NormalinTable"/>
            </w:pPr>
            <w:r>
              <w:t>Entry Price - 0.00% + Specific 100%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0809 29 00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1,430,000 kg + an addition of 68000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0809 30 90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0809 40 05</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01/05</w:t>
            </w:r>
          </w:p>
        </w:tc>
        <!-- End Quota Open Date cell //-->
        <!-- Begin Quota Close Date cell //-->
        <w:tc>
          <w:tcPr>
            <w:tcBorders>
              <w:top w:val="single" w:sz="12" w:space="0" w:color="000000" w:themeColor="background1" w:themeShade="00"/>
            </w:tcBorders>
          </w:tcPr>
          <w:tcPr>
            <w:vMerge w:val="restart"/>
          </w:tcPr>
          <w:p>
            <w:pPr>
              <w:pStyle w:val="NormalinTable"/>
            </w:pPr>
            <w:r>
              <w:t>31/08</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0809 40 90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1510 00 10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091187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Lebanon, version 1.0, dated 1 November 2019</dc:title>
  <dc:subject/>
  <dc:creator>Department for International Trade - Trade Policy Group</dc:creator>
  <cp:keywords>Lebanon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