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South Africa, version 1.0, dated 1 November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South Africa, of the other part, signed on 01/11/2019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0103 92 19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0106 14 10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0203 19 59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0203 29 59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0303 59 90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0304 79 90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0304 89 90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0511 99 39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15/10</w:t>
            </w:r>
            <w:r>
              <w:tab/>
              <w:t>0.00%</w:t>
            </w:r>
            <w:r>
              <w:br/>
            </w:r>
            <w:r>
              <w:t>16/10 to 30/11</w:t>
            </w:r>
            <w:r>
              <w:tab/>
              <w:t>10.20%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15/10</w:t>
            </w:r>
            <w:r>
              <w:tab/>
              <w:t>0.00%</w:t>
            </w:r>
            <w:r>
              <w:br/>
            </w:r>
            <w:r>
              <w:t>16/10 to 30/11</w:t>
            </w:r>
            <w:r>
              <w:tab/>
              <w:t>10.20%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01/06 to 15/10</w:t>
            </w:r>
            <w:r>
              <w:tab/>
              <w:t>0.00%</w:t>
            </w:r>
            <w:r>
              <w:br/>
            </w:r>
            <w:r>
              <w:t>16/10 to 30/11</w:t>
            </w:r>
            <w:r>
              <w:tab/>
              <w:t>10.20%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31/01</w:t>
            </w:r>
            <w:r>
              <w:tab/>
              <w:t>0.00%</w:t>
            </w:r>
            <w:r>
              <w:br/>
            </w:r>
            <w:r>
              <w:t>01/12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01/11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16/09 to 15/12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1103 20 90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1104 19 99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1209 23 80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1209 29 80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2.80%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9.30%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 + 45.100 € / 100 kg MAX 18.90% + 16.500 €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- 10.70%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- 4.80%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20.40%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2009 41 92 20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2009 41 92 30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7.30% + 22.700 €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6.70%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 + 20.200 € / 100 kg MAX 19.40% + 9.400 €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4.50% + 38.500 € / 100 kg MAX 18.10% + 7.000 €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4.40% + 54.000 € / 100 kg MAX 17.80% + 6.900 €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 + 4.400 €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0.700 € / % vol / hl + 4.400 €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0.700 €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2306 90 19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2503 00 90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2519 90 10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9.00% + 125.800 €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 + 8.900 €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 + 12.400 €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 + 15.100 €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5.00% + 17.700 € / 100 kg MAX 12.80%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 + 16.100 €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9.00% + 37.800 €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3824 60 99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9.00% + 53.700 €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4002 99 10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4104 49 90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7507 20 00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091801</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0402 10 00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091802</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0405 10 00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091804</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0811 10 90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127,003 kg + an addition of 3,000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091806</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22,045,000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1701 99 10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091808</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1701 13 10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49,320,000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1701 14 10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091818</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1702 30 50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159,000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091820</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2007 91 30</w:t>
            </w:r>
          </w:p>
        </w:tc>
        <!-- End commodity code cell //-->
        <!-- Begin Preferential Quota Duty Rate cell //-->
        <w:tc>
          <w:tcPr>
            <w:tcBorders>
              <w:top w:val="single" w:sz="12" w:space="0" w:color="000000" w:themeColor="background1" w:themeShade="00"/>
            </w:tcBorders>
          </w:tcPr>
          <w:tcPr>
            <w:vMerge w:val="restart"/>
          </w:tcPr>
          <w:p>
            <w:pPr>
              <w:pStyle w:val="NormalinTable"/>
            </w:pPr>
            <w:r>
              <w:t>10.00% + 2.100 €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32,000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091822</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2007 99 39 16</w:t>
            </w:r>
          </w:p>
        </w:tc>
        <!-- End commodity code cell //-->
        <!-- Begin Preferential Quota Duty Rate cell //-->
        <w:tc>
          <w:tcPr>
            <w:tcBorders>
              <w:top w:val="single" w:sz="12" w:space="0" w:color="000000" w:themeColor="background1" w:themeShade="00"/>
            </w:tcBorders>
          </w:tcPr>
          <w:tcPr>
            <w:vMerge w:val="restart"/>
          </w:tcPr>
          <w:p>
            <w:pPr>
              <w:pStyle w:val="NormalinTable"/>
            </w:pPr>
            <w:r>
              <w:t>9.10% MAX 7.60% + 7.360 € / 100 kg</w:t>
            </w:r>
          </w:p>
        </w:tc>
        <!-- End Preferential Quota Duty Rate cell //-->
        <!-- Begin Quota Volume cell //-->
        <w:tc>
          <w:tcPr>
            <w:tcBorders>
              <w:top w:val="single" w:sz="12" w:space="0" w:color="000000" w:themeColor="background1" w:themeShade="00"/>
            </w:tcBorders>
          </w:tcPr>
          <w:tcPr>
            <w:vMerge w:val="restart"/>
          </w:tcPr>
          <w:p>
            <w:pPr>
              <w:pStyle w:val="NormalinTable"/>
            </w:pPr>
            <w:r>
              <w:t>18,181,000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2007 99 39 18</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+ 7.360 €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2007 99 39 22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2007 99 39 24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2007 99 39 26</w:t>
            </w:r>
          </w:p>
        </w:tc>
        <!-- End commodity code cell //-->
        <!-- Begin Preferential Quota Duty Rate cell //-->
        <w:tc>
          <w:tcPr>
            <w:tcBorders>
              <w:top w:val="single" w:sz="4" w:space="0" w:color="666666" w:themeColor="background1" w:themeShade="A6"/>
            </w:tcBorders>
          </w:tcPr>
          <w:tcPr>
            <w:vMerge w:val="restart"/>
          </w:tcPr>
          <w:p>
            <w:pPr>
              <w:pStyle w:val="NormalinTable"/>
            </w:pPr>
            <w:r>
              <w:t>10.80% MAX 7.60% + 7.360 €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2007 99 39 27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2007 99 39 29</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+ 7.360 €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2007 99 39 34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2007 99 39 39</w:t>
            </w:r>
          </w:p>
        </w:tc>
        <!-- End commodity code cell //-->
        <!-- Begin Preferential Quota Duty Rate cell //-->
        <w:tc>
          <w:tcPr>
            <w:tcBorders>
              <w:top w:val="single" w:sz="4" w:space="0" w:color="666666" w:themeColor="background1" w:themeShade="A6"/>
            </w:tcBorders>
          </w:tcPr>
          <w:tcPr>
            <w:vMerge w:val="restart"/>
          </w:tcPr>
          <w:p>
            <w:pPr>
              <w:pStyle w:val="NormalinTable"/>
            </w:pPr>
            <w:r>
              <w:t>9.10% MAX 7.60% + 7.360 €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2007 99 39 46</w:t>
            </w:r>
          </w:p>
        </w:tc>
        <!-- End commodity code cell //-->
        <!-- Begin Preferential Quota Duty Rate cell //-->
        <w:tc>
          <w:tcPr>
            <w:tcBorders>
              <w:top w:val="single" w:sz="4" w:space="0" w:color="666666" w:themeColor="background1" w:themeShade="A6"/>
            </w:tcBorders>
          </w:tcPr>
          <w:tcPr>
            <w:vMerge w:val="restart"/>
          </w:tcPr>
          <w:p>
            <w:pPr>
              <w:pStyle w:val="NormalinTable"/>
            </w:pPr>
            <w:r>
              <w:t>7.10%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2007 99 39 54</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+ 7.360 €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2007 99 39 56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2007 99 50 41</w:t>
            </w:r>
          </w:p>
        </w:tc>
        <!-- End commodity code cell //-->
        <!-- Begin Preferential Quota Duty Rate cell //-->
        <w:tc>
          <w:tcPr>
            <w:tcBorders>
              <w:top w:val="single" w:sz="4" w:space="0" w:color="666666" w:themeColor="background1" w:themeShade="A6"/>
            </w:tcBorders>
          </w:tcPr>
          <w:tcPr>
            <w:vMerge w:val="restart"/>
          </w:tcPr>
          <w:p>
            <w:pPr>
              <w:pStyle w:val="NormalinTable"/>
            </w:pPr>
            <w:r>
              <w:t>9.10%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2007 99 50 42</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2007 99 50 43</w:t>
            </w:r>
          </w:p>
        </w:tc>
        <!-- End commodity code cell //-->
        <!-- Begin Preferential Quota Duty Rate cell //-->
        <w:tc>
          <w:tcPr>
            <w:tcBorders>
              <w:top w:val="single" w:sz="4" w:space="0" w:color="666666" w:themeColor="background1" w:themeShade="A6"/>
            </w:tcBorders>
          </w:tcPr>
          <w:tcPr>
            <w:vMerge w:val="restart"/>
          </w:tcPr>
          <w:p>
            <w:pPr>
              <w:pStyle w:val="NormalinTable"/>
            </w:pPr>
            <w:r>
              <w:t>9.10%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2007 99 50 45</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2007 99 50 47</w:t>
            </w:r>
          </w:p>
        </w:tc>
        <!-- End commodity code cell //-->
        <!-- Begin Preferential Quota Duty Rate cell //-->
        <w:tc>
          <w:tcPr>
            <w:tcBorders>
              <w:top w:val="single" w:sz="4" w:space="0" w:color="666666" w:themeColor="background1" w:themeShade="A6"/>
            </w:tcBorders>
          </w:tcPr>
          <w:tcPr>
            <w:vMerge w:val="restart"/>
          </w:tcPr>
          <w:p>
            <w:pPr>
              <w:pStyle w:val="NormalinTable"/>
            </w:pPr>
            <w:r>
              <w:t>10.80%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2007 99 50 49</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2007 99 50 51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2007 99 50 52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2007 99 50 53</w:t>
            </w:r>
          </w:p>
        </w:tc>
        <!-- End commodity code cell //-->
        <!-- Begin Preferential Quota Duty Rate cell //-->
        <w:tc>
          <w:tcPr>
            <w:tcBorders>
              <w:top w:val="single" w:sz="4" w:space="0" w:color="666666" w:themeColor="background1" w:themeShade="A6"/>
            </w:tcBorders>
          </w:tcPr>
          <w:tcPr>
            <w:vMerge w:val="restart"/>
          </w:tcPr>
          <w:p>
            <w:pPr>
              <w:pStyle w:val="NormalinTable"/>
            </w:pPr>
            <w:r>
              <w:t>9.10%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2007 99 50 62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2007 99 50 64</w:t>
            </w:r>
          </w:p>
        </w:tc>
        <!-- End commodity code cell //-->
        <!-- Begin Preferential Quota Duty Rate cell //-->
        <w:tc>
          <w:tcPr>
            <w:tcBorders>
              <w:top w:val="single" w:sz="4" w:space="0" w:color="666666" w:themeColor="background1" w:themeShade="A6"/>
            </w:tcBorders>
          </w:tcPr>
          <w:tcPr>
            <w:vMerge w:val="restart"/>
          </w:tcPr>
          <w:p>
            <w:pPr>
              <w:pStyle w:val="NormalinTable"/>
            </w:pPr>
            <w:r>
              <w:t>7.10%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2007 99 50 67</w:t>
            </w:r>
          </w:p>
        </w:tc>
        <!-- End commodity code cell //-->
        <!-- Begin Preferential Quota Duty Rate cell //-->
        <w:tc>
          <w:tcPr>
            <w:tcBorders>
              <w:top w:val="single" w:sz="4" w:space="0" w:color="666666" w:themeColor="background1" w:themeShade="A6"/>
            </w:tcBorders>
          </w:tcPr>
          <w:tcPr>
            <w:vMerge w:val="restart"/>
          </w:tcPr>
          <w:p>
            <w:pPr>
              <w:pStyle w:val="NormalinTable"/>
            </w:pPr>
            <w:r>
              <w:t>10.00% MAX 7.60% + 1.344 €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2007 99 97 32</w:t>
            </w:r>
          </w:p>
        </w:tc>
        <!-- End commodity code cell //-->
        <!-- Begin Preferential Quota Duty Rate cell //-->
        <w:tc>
          <w:tcPr>
            <w:tcBorders>
              <w:top w:val="single" w:sz="4" w:space="0" w:color="666666" w:themeColor="background1" w:themeShade="A6"/>
            </w:tcBorders>
          </w:tcPr>
          <w:tcPr>
            <w:vMerge w:val="restart"/>
          </w:tcPr>
          <w:p>
            <w:pPr>
              <w:pStyle w:val="NormalinTable"/>
            </w:pPr>
            <w:r>
              <w:t>7.60%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2007 99 97 33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2007 99 97 37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2007 99 97 39</w:t>
            </w:r>
          </w:p>
        </w:tc>
        <!-- End commodity code cell //-->
        <!-- Begin Preferential Quota Duty Rate cell //-->
        <w:tc>
          <w:tcPr>
            <w:tcBorders>
              <w:top w:val="single" w:sz="4" w:space="0" w:color="666666" w:themeColor="background1" w:themeShade="A6"/>
            </w:tcBorders>
          </w:tcPr>
          <w:tcPr>
            <w:vMerge w:val="restart"/>
          </w:tcPr>
          <w:p>
            <w:pPr>
              <w:pStyle w:val="NormalinTable"/>
            </w:pPr>
            <w:r>
              <w:t>7.10%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2007 99 97 40</w:t>
            </w:r>
          </w:p>
        </w:tc>
        <!-- End commodity code cell //-->
        <!-- Begin Preferential Quota Duty Rate cell //-->
        <w:tc>
          <w:tcPr>
            <w:tcBorders>
              <w:top w:val="single" w:sz="4" w:space="0" w:color="666666" w:themeColor="background1" w:themeShade="A6"/>
            </w:tcBorders>
          </w:tcPr>
          <w:tcPr>
            <w:vMerge w:val="restart"/>
          </w:tcPr>
          <w:p>
            <w:pPr>
              <w:pStyle w:val="NormalinTable"/>
            </w:pPr>
            <w:r>
              <w:t>7.60%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2007 99 97 42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2007 99 97 44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2007 99 97 46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2007 99 97 52</w:t>
            </w:r>
          </w:p>
        </w:tc>
        <!-- End commodity code cell //-->
        <!-- Begin Preferential Quota Duty Rate cell //-->
        <w:tc>
          <w:tcPr>
            <w:tcBorders>
              <w:top w:val="single" w:sz="4" w:space="0" w:color="666666" w:themeColor="background1" w:themeShade="A6"/>
            </w:tcBorders>
          </w:tcPr>
          <w:tcPr>
            <w:vMerge w:val="restart"/>
          </w:tcPr>
          <w:p>
            <w:pPr>
              <w:pStyle w:val="NormalinTable"/>
            </w:pPr>
            <w:r>
              <w:t>7.10%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2007 99 97 57</w:t>
            </w:r>
          </w:p>
        </w:tc>
        <!-- End commodity code cell //-->
        <!-- Begin Preferential Quota Duty Rate cell //-->
        <w:tc>
          <w:tcPr>
            <w:tcBorders>
              <w:top w:val="single" w:sz="4" w:space="0" w:color="666666" w:themeColor="background1" w:themeShade="A6"/>
            </w:tcBorders>
          </w:tcPr>
          <w:tcPr>
            <w:vMerge w:val="restart"/>
          </w:tcPr>
          <w:p>
            <w:pPr>
              <w:pStyle w:val="NormalinTable"/>
            </w:pPr>
            <w:r>
              <w:t>7.60%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2007 99 97 62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2008 40 51</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2008 40 59</w:t>
            </w:r>
          </w:p>
        </w:tc>
        <!-- End commodity code cell //-->
        <!-- Begin Preferential Quota Duty Rate cell //-->
        <w:tc>
          <w:tcPr>
            <w:tcBorders>
              <w:top w:val="single" w:sz="4" w:space="0" w:color="666666" w:themeColor="background1" w:themeShade="A6"/>
            </w:tcBorders>
          </w:tcPr>
          <w:tcPr>
            <w:vMerge w:val="restart"/>
          </w:tcPr>
          <w:p>
            <w:pPr>
              <w:pStyle w:val="NormalinTable"/>
            </w:pPr>
            <w:r>
              <w:t>5.10%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2008 40 71</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2008 40 79</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2008 40 90</w:t>
            </w:r>
          </w:p>
        </w:tc>
        <!-- End commodity code cell //-->
        <!-- Begin Preferential Quota Duty Rate cell //-->
        <w:tc>
          <w:tcPr>
            <w:tcBorders>
              <w:top w:val="single" w:sz="4" w:space="0" w:color="666666" w:themeColor="background1" w:themeShade="A6"/>
            </w:tcBorders>
          </w:tcPr>
          <w:tcPr>
            <w:vMerge w:val="restart"/>
          </w:tcPr>
          <w:p>
            <w:pPr>
              <w:pStyle w:val="NormalinTable"/>
            </w:pPr>
            <w:r>
              <w:t>5.30%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2008 50 61</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2008 50 69</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2008 50 71</w:t>
            </w:r>
          </w:p>
        </w:tc>
        <!-- End commodity code cell //-->
        <!-- Begin Preferential Quota Duty Rate cell //-->
        <w:tc>
          <w:tcPr>
            <w:tcBorders>
              <w:top w:val="single" w:sz="4" w:space="0" w:color="666666" w:themeColor="background1" w:themeShade="A6"/>
            </w:tcBorders>
          </w:tcPr>
          <w:tcPr>
            <w:vMerge w:val="restart"/>
          </w:tcPr>
          <w:p>
            <w:pPr>
              <w:pStyle w:val="NormalinTable"/>
            </w:pPr>
            <w:r>
              <w:t>6.60%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2008 50 79</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2008 50 92</w:t>
            </w:r>
          </w:p>
        </w:tc>
        <!-- End commodity code cell //-->
        <!-- Begin Preferential Quota Duty Rate cell //-->
        <w:tc>
          <w:tcPr>
            <w:tcBorders>
              <w:top w:val="single" w:sz="4" w:space="0" w:color="666666" w:themeColor="background1" w:themeShade="A6"/>
            </w:tcBorders>
          </w:tcPr>
          <w:tcPr>
            <w:vMerge w:val="restart"/>
          </w:tcPr>
          <w:p>
            <w:pPr>
              <w:pStyle w:val="NormalinTable"/>
            </w:pPr>
            <w:r>
              <w:t>4.30%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2008 50 98 11</w:t>
            </w:r>
          </w:p>
        </w:tc>
        <!-- End commodity code cell //-->
        <!-- Begin Preferential Quota Duty Rate cell //-->
        <w:tc>
          <w:tcPr>
            <w:tcBorders>
              <w:top w:val="single" w:sz="4" w:space="0" w:color="666666" w:themeColor="background1" w:themeShade="A6"/>
            </w:tcBorders>
          </w:tcPr>
          <w:tcPr>
            <w:vMerge w:val="restart"/>
          </w:tcPr>
          <w:p>
            <w:pPr>
              <w:pStyle w:val="NormalinTable"/>
            </w:pPr>
            <w:r>
              <w:t>5.40%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2008 50 98 93</w:t>
            </w:r>
          </w:p>
        </w:tc>
        <!-- End commodity code cell //-->
        <!-- Begin Preferential Quota Duty Rate cell //-->
        <w:tc>
          <w:tcPr>
            <w:tcBorders>
              <w:top w:val="single" w:sz="4" w:space="0" w:color="666666" w:themeColor="background1" w:themeShade="A6"/>
            </w:tcBorders>
          </w:tcPr>
          <w:tcPr>
            <w:vMerge w:val="restart"/>
          </w:tcPr>
          <w:p>
            <w:pPr>
              <w:pStyle w:val="NormalinTable"/>
            </w:pPr>
            <w:r>
              <w:t>5.80%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2008 50 98 99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2008 70 61</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2008 70 69</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2008 70 71</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2008 70 79</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2008 70 92</w:t>
            </w:r>
          </w:p>
        </w:tc>
        <!-- End commodity code cell //-->
        <!-- Begin Preferential Quota Duty Rate cell //-->
        <w:tc>
          <w:tcPr>
            <w:tcBorders>
              <w:top w:val="single" w:sz="4" w:space="0" w:color="666666" w:themeColor="background1" w:themeShade="A6"/>
            </w:tcBorders>
          </w:tcPr>
          <w:tcPr>
            <w:vMerge w:val="restart"/>
          </w:tcPr>
          <w:p>
            <w:pPr>
              <w:pStyle w:val="NormalinTable"/>
            </w:pPr>
            <w:r>
              <w:t>4.80%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2008 70 98</w:t>
            </w:r>
          </w:p>
        </w:tc>
        <!-- End commodity code cell //-->
        <!-- Begin Preferential Quota Duty Rate cell //-->
        <w:tc>
          <w:tcPr>
            <w:tcBorders>
              <w:top w:val="single" w:sz="4" w:space="0" w:color="666666" w:themeColor="background1" w:themeShade="A6"/>
            </w:tcBorders>
          </w:tcPr>
          <w:tcPr>
            <w:vMerge w:val="restart"/>
          </w:tcPr>
          <w:p>
            <w:pPr>
              <w:pStyle w:val="NormalinTable"/>
            </w:pPr>
            <w:r>
              <w:t>5.80%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2008 97 59</w:t>
            </w:r>
          </w:p>
        </w:tc>
        <!-- End commodity code cell //-->
        <!-- Begin Preferential Quota Duty Rate cell //-->
        <w:tc>
          <w:tcPr>
            <w:tcBorders>
              <w:top w:val="single" w:sz="4" w:space="0" w:color="666666" w:themeColor="background1" w:themeShade="A6"/>
            </w:tcBorders>
          </w:tcPr>
          <w:tcPr>
            <w:vMerge w:val="restart"/>
          </w:tcPr>
          <w:p>
            <w:pPr>
              <w:pStyle w:val="NormalinTable"/>
            </w:pPr>
            <w:r>
              <w:t>5.60%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2008 97 74</w:t>
            </w:r>
          </w:p>
        </w:tc>
        <!-- End commodity code cell //-->
        <!-- Begin Preferential Quota Duty Rate cell //-->
        <w:tc>
          <w:tcPr>
            <w:tcBorders>
              <w:top w:val="single" w:sz="4" w:space="0" w:color="666666" w:themeColor="background1" w:themeShade="A6"/>
            </w:tcBorders>
          </w:tcPr>
          <w:tcPr>
            <w:vMerge w:val="restart"/>
          </w:tcPr>
          <w:p>
            <w:pPr>
              <w:pStyle w:val="NormalinTable"/>
            </w:pPr>
            <w:r>
              <w:t>4.30%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2008 97 78</w:t>
            </w:r>
          </w:p>
        </w:tc>
        <!-- End commodity code cell //-->
        <!-- Begin Preferential Quota Duty Rate cell //-->
        <w:tc>
          <w:tcPr>
            <w:tcBorders>
              <w:top w:val="single" w:sz="4" w:space="0" w:color="666666" w:themeColor="background1" w:themeShade="A6"/>
            </w:tcBorders>
          </w:tcPr>
          <w:tcPr>
            <w:vMerge w:val="restart"/>
          </w:tcPr>
          <w:p>
            <w:pPr>
              <w:pStyle w:val="NormalinTable"/>
            </w:pPr>
            <w:r>
              <w:t>6.10%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2008 97 98</w:t>
            </w:r>
          </w:p>
        </w:tc>
        <!-- End commodity code cell //-->
        <!-- Begin Preferential Quota Duty Rate cell //-->
        <w:tc>
          <w:tcPr>
            <w:tcBorders>
              <w:top w:val="single" w:sz="4" w:space="0" w:color="666666" w:themeColor="background1" w:themeShade="A6"/>
            </w:tcBorders>
          </w:tcPr>
          <w:tcPr>
            <w:vMerge w:val="restart"/>
          </w:tcPr>
          <w:p>
            <w:pPr>
              <w:pStyle w:val="NormalinTable"/>
            </w:pPr>
            <w:r>
              <w:t>5.80%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091824</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2007 99 39 43</w:t>
            </w:r>
          </w:p>
        </w:tc>
        <!-- End commodity code cell //-->
        <!-- Begin Preferential Quota Duty Rate cell //-->
        <w:tc>
          <w:tcPr>
            <w:tcBorders>
              <w:top w:val="single" w:sz="12" w:space="0" w:color="000000" w:themeColor="background1" w:themeShade="00"/>
            </w:tcBorders>
          </w:tcPr>
          <w:tcPr>
            <w:vMerge w:val="restart"/>
          </w:tcPr>
          <w:p>
            <w:pPr>
              <w:pStyle w:val="NormalinTable"/>
            </w:pPr>
            <w:r>
              <w:t>4.90%</w:t>
            </w:r>
          </w:p>
        </w:tc>
        <!-- End Preferential Quota Duty Rate cell //-->
        <!-- Begin Quota Volume cell //-->
        <w:tc>
          <w:tcPr>
            <w:tcBorders>
              <w:top w:val="single" w:sz="12" w:space="0" w:color="000000" w:themeColor="background1" w:themeShade="00"/>
            </w:tcBorders>
          </w:tcPr>
          <w:tcPr>
            <w:vMerge w:val="restart"/>
          </w:tcPr>
          <w:p>
            <w:pPr>
              <w:pStyle w:val="NormalinTable"/>
            </w:pPr>
            <w:r>
              <w:t>1,018,000 kg + an addition of 19,000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2007 99 39 44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2008 97 72</w:t>
            </w:r>
          </w:p>
        </w:tc>
        <!-- End commodity code cell //-->
        <!-- Begin Preferential Quota Duty Rate cell //-->
        <w:tc>
          <w:tcPr>
            <w:tcBorders>
              <w:top w:val="single" w:sz="4" w:space="0" w:color="666666" w:themeColor="background1" w:themeShade="A6"/>
            </w:tcBorders>
          </w:tcPr>
          <w:tcPr>
            <w:vMerge w:val="restart"/>
          </w:tcPr>
          <w:p>
            <w:pPr>
              <w:pStyle w:val="NormalinTable"/>
            </w:pPr>
            <w:r>
              <w:t>4.20%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091826</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2009 11 99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356,500 kg + an addition of 7,000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091829</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2009 71 00</w:t>
            </w:r>
          </w:p>
        </w:tc>
        <!-- End commodity code cell //-->
        <!-- Begin Preferential Quota Duty Rate cell //-->
        <w:tc>
          <w:tcPr>
            <w:tcBorders>
              <w:top w:val="single" w:sz="12" w:space="0" w:color="000000" w:themeColor="background1" w:themeShade="00"/>
            </w:tcBorders>
          </w:tcPr>
          <w:tcPr>
            <w:vMerge w:val="restart"/>
          </w:tcPr>
          <w:p>
            <w:pPr>
              <w:pStyle w:val="NormalinTable"/>
            </w:pPr>
            <w:r>
              <w:t>9.00%</w:t>
            </w:r>
          </w:p>
        </w:tc>
        <!-- End Preferential Quota Duty Rate cell //-->
        <!-- Begin Quota Volume cell //-->
        <w:tc>
          <w:tcPr>
            <w:tcBorders>
              <w:top w:val="single" w:sz="12" w:space="0" w:color="000000" w:themeColor="background1" w:themeShade="00"/>
            </w:tcBorders>
          </w:tcPr>
          <w:tcPr>
            <w:vMerge w:val="restart"/>
          </w:tcPr>
          <w:p>
            <w:pPr>
              <w:pStyle w:val="NormalinTable"/>
            </w:pPr>
            <w:r>
              <w:t>1,255,000 kg + an addition of 37,000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2009 79 11</w:t>
            </w:r>
          </w:p>
        </w:tc>
        <!-- End commodity code cell //-->
        <!-- Begin Preferential Quota Duty Rate cell //-->
        <w:tc>
          <w:tcPr>
            <w:tcBorders>
              <w:top w:val="single" w:sz="4" w:space="0" w:color="666666" w:themeColor="background1" w:themeShade="A6"/>
            </w:tcBorders>
          </w:tcPr>
          <w:tcPr>
            <w:vMerge w:val="restart"/>
          </w:tcPr>
          <w:p>
            <w:pPr>
              <w:pStyle w:val="NormalinTable"/>
            </w:pPr>
            <w:r>
              <w:t>15.00% + 9.200 €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2009 79 19</w:t>
            </w:r>
          </w:p>
        </w:tc>
        <!-- End commodity code cell //-->
        <!-- Begin Preferential Quota Duty Rate cell //-->
        <w:tc>
          <w:tcPr>
            <w:tcBorders>
              <w:top w:val="single" w:sz="4" w:space="0" w:color="666666" w:themeColor="background1" w:themeShade="A6"/>
            </w:tcBorders>
          </w:tcPr>
          <w:tcPr>
            <w:vMerge w:val="restart"/>
          </w:tcPr>
          <w:p>
            <w:pPr>
              <w:pStyle w:val="NormalinTable"/>
            </w:pPr>
            <w:r>
              <w:t>15.00%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2009 79 30</w:t>
            </w:r>
          </w:p>
        </w:tc>
        <!-- End commodity code cell //-->
        <!-- Begin Preferential Quota Duty Rate cell //-->
        <w:tc>
          <w:tcPr>
            <w:tcBorders>
              <w:top w:val="single" w:sz="4" w:space="0" w:color="666666" w:themeColor="background1" w:themeShade="A6"/>
            </w:tcBorders>
          </w:tcPr>
          <w:tcPr>
            <w:vMerge w:val="restart"/>
          </w:tcPr>
          <w:p>
            <w:pPr>
              <w:pStyle w:val="NormalinTable"/>
            </w:pPr>
            <w:r>
              <w:t>9.00%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2009 79 91</w:t>
            </w:r>
          </w:p>
        </w:tc>
        <!-- End commodity code cell //-->
        <!-- Begin Preferential Quota Duty Rate cell //-->
        <w:tc>
          <w:tcPr>
            <w:tcBorders>
              <w:top w:val="single" w:sz="4" w:space="0" w:color="666666" w:themeColor="background1" w:themeShade="A6"/>
            </w:tcBorders>
          </w:tcPr>
          <w:tcPr>
            <w:vMerge w:val="restart"/>
          </w:tcPr>
          <w:p>
            <w:pPr>
              <w:pStyle w:val="NormalinTable"/>
            </w:pPr>
            <w:r>
              <w:t>9.00% + 9.650 € / 100 kg</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tcPr>
            <w:tcBorders>
              <w:top w:val="single" w:sz="4" w:space="0" w:color="666666" w:themeColor="background1" w:themeShade="A6"/>
            </w:tcBorders>
          </w:tcPr>
          <w:p>
            <w:pPr>
              <w:pStyle w:val="NormalinTable"/>
            </w:pPr>
            <w:r>
              <w:t>2009 79 98</w:t>
            </w:r>
          </w:p>
        </w:tc>
        <!-- End commodity code cell //-->
        <!-- Begin Preferential Quota Duty Rate cell //-->
        <w:tc>
          <w:tcPr>
            <w:tcBorders>
              <w:top w:val="single" w:sz="4" w:space="0" w:color="666666" w:themeColor="background1" w:themeShade="A6"/>
            </w:tcBorders>
          </w:tcPr>
          <w:tcPr>
            <w:vMerge w:val="restart"/>
          </w:tcPr>
          <w:p>
            <w:pPr>
              <w:pStyle w:val="NormalinTable"/>
            </w:pPr>
            <w:r>
              <w:t>9.00%</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091830</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2102 10 90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111,000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091892</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49,118,818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091893</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2204 21 93 19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21,050,922 l</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2204 21 93 31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2204 21 95 31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2204 21 97 31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2204 21 98 81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2204 22 98 81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2204 29 94 81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2204 29 95 30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2204 29 96 81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2204 29 98 81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091894</w:t>
            </w:r>
            <w:r>
              <w:rPr>
                <w:b/>
              </w:rPr>
              <w:br/>
            </w:r>
            <w:r>
              <w:t>S. Africa only</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2207 00 00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25,448,000 kg</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South Africa, version 1.0, dated 1 November 2019</dc:title>
  <dc:subject/>
  <dc:creator>Department for International Trade - Trade Policy Group</dc:creator>
  <cp:keywords>South Africa</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