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Economics Partnership, Political Coordination and Corporation Agreement between the United Kingdom of Great Britain and Northern Ireland and the United Mexican States,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Mexico,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1,000 items</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01/12 to 29/02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31/10</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kg / tot alc</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kg / tot alc</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091831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17.500 € / 1,000 items</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0407 19 19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091833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0409 00 00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8.60%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091834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0803 90 10</w:t>
            </w:r>
          </w:p>
        </w:tc>
        <!-- End commodity code cell //-->
        <!-- Begin Preferential Quota Duty Rate cell //-->
        <w:tc>
          <w:tcPr>
            <w:tcBorders>
              <w:top w:val="single" w:sz="12" w:space="0" w:color="000000" w:themeColor="background1" w:themeShade="00"/>
            </w:tcBorders>
          </w:tcPr>
          <w:tcPr>
            <w:vMerge w:val="restart"/>
          </w:tcPr>
          <w:p>
            <w:pPr>
              <w:pStyle w:val="NormalinTable"/>
            </w:pPr>
            <w:r>
              <w:t>70.000 €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091835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0603 11 00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01/06</w:t>
            </w:r>
          </w:p>
        </w:tc>
        <!-- End Quota Open Date cell //-->
        <!-- Begin Quota Close Date cell //-->
        <w:tc>
          <w:tcPr>
            <w:tcBorders>
              <w:top w:val="single" w:sz="12" w:space="0" w:color="000000" w:themeColor="background1" w:themeShade="00"/>
            </w:tcBorders>
          </w:tcPr>
          <w:tcPr>
            <w:vMerge w:val="restart"/>
          </w:tcPr>
          <w:p>
            <w:pPr>
              <w:pStyle w:val="NormalinTable"/>
            </w:pPr>
            <w:r>
              <w:t>31/10</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091837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0603 15 00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01/06</w:t>
            </w:r>
          </w:p>
        </w:tc>
        <!-- End Quota Open Date cell //-->
        <!-- Begin Quota Close Date cell //-->
        <w:tc>
          <w:tcPr>
            <w:tcBorders>
              <w:top w:val="single" w:sz="12" w:space="0" w:color="000000" w:themeColor="background1" w:themeShade="00"/>
            </w:tcBorders>
          </w:tcPr>
          <w:tcPr>
            <w:vMerge w:val="restart"/>
          </w:tcPr>
          <w:p>
            <w:pPr>
              <w:pStyle w:val="NormalinTable"/>
            </w:pPr>
            <w:r>
              <w:t>31/10</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091839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0603 11 00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01/11</w:t>
            </w:r>
          </w:p>
        </w:tc>
        <!-- End Quota Open Date cell //-->
        <!-- Begin Quota Close Date cell //-->
        <w:tc>
          <w:tcPr>
            <w:tcBorders>
              <w:top w:val="single" w:sz="12" w:space="0" w:color="000000" w:themeColor="background1" w:themeShade="00"/>
            </w:tcBorders>
          </w:tcPr>
          <w:tcPr>
            <w:vMerge w:val="restart"/>
          </w:tcPr>
          <w:p>
            <w:pPr>
              <w:pStyle w:val="NormalinTable"/>
            </w:pPr>
            <w:r>
              <w:t>31/05</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091841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0603 15 00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01/11</w:t>
            </w:r>
          </w:p>
        </w:tc>
        <!-- End Quota Open Date cell //-->
        <!-- Begin Quota Close Date cell //-->
        <w:tc>
          <w:tcPr>
            <w:tcBorders>
              <w:top w:val="single" w:sz="12" w:space="0" w:color="000000" w:themeColor="background1" w:themeShade="00"/>
            </w:tcBorders>
          </w:tcPr>
          <w:tcPr>
            <w:vMerge w:val="restart"/>
          </w:tcPr>
          <w:p>
            <w:pPr>
              <w:pStyle w:val="NormalinTable"/>
            </w:pPr>
            <w:r>
              <w:t>31/05</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091843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0709 20 00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01/03</w:t>
            </w:r>
          </w:p>
        </w:tc>
        <!-- End Quota Open Date cell //-->
        <!-- Begin Quota Close Date cell //-->
        <w:tc>
          <w:tcPr>
            <w:tcBorders>
              <w:top w:val="single" w:sz="12" w:space="0" w:color="000000" w:themeColor="background1" w:themeShade="00"/>
            </w:tcBorders>
          </w:tcPr>
          <w:tcPr>
            <w:vMerge w:val="restart"/>
          </w:tcPr>
          <w:p>
            <w:pPr>
              <w:pStyle w:val="NormalinTable"/>
            </w:pPr>
            <w:r>
              <w:t>30/11</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091845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5.40%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091849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0807 19 00</w:t>
            </w:r>
          </w:p>
        </w:tc>
        <!-- End commodity code cell //-->
        <!-- Begin Preferential Quota Duty Rate cell //-->
        <w:tc>
          <w:tcPr>
            <w:tcBorders>
              <w:top w:val="single" w:sz="12" w:space="0" w:color="000000" w:themeColor="background1" w:themeShade="00"/>
            </w:tcBorders>
          </w:tcPr>
          <w:tcPr>
            <w:vMerge w:val="restart"/>
          </w:tcPr>
          <w:p>
            <w:pPr>
              <w:pStyle w:val="NormalinTable"/>
            </w:pPr>
            <w:r>
              <w:t>2.60%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31/05</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091851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0811 10 90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7.20%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091853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1604 14 21</w:t>
            </w:r>
          </w:p>
        </w:tc>
        <!-- End commodity code cell //-->
        <!-- Begin Preferential Quota Duty Rate cell //-->
        <w:tc>
          <w:tcPr>
            <w:tcBorders>
              <w:top w:val="single" w:sz="12" w:space="0" w:color="000000" w:themeColor="background1" w:themeShade="00"/>
            </w:tcBorders>
          </w:tcPr>
          <w:tcPr>
            <w:vMerge w:val="restart"/>
          </w:tcPr>
          <w:p>
            <w:pPr>
              <w:pStyle w:val="NormalinTable"/>
            </w:pPr>
            <w:r>
              <w:t>6.80%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1604 14 28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1604 14 90</w:t>
            </w:r>
          </w:p>
        </w:tc>
        <!-- End commodity code cell //-->
        <!-- Begin Preferential Quota Duty Rate cell //-->
        <w:tc>
          <w:tcPr>
            <w:tcBorders>
              <w:top w:val="single" w:sz="4" w:space="0" w:color="666666" w:themeColor="background1" w:themeShade="A6"/>
            </w:tcBorders>
          </w:tcPr>
          <w:tcPr>
            <w:vMerge w:val="restart"/>
          </w:tcPr>
          <w:p>
            <w:pPr>
              <w:pStyle w:val="NormalinTable"/>
            </w:pPr>
            <w:r>
              <w:t>7.10%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1604 19 39</w:t>
            </w:r>
          </w:p>
        </w:tc>
        <!-- End commodity code cell //-->
        <!-- Begin Preferential Quota Duty Rate cell //-->
        <w:tc>
          <w:tcPr>
            <w:tcBorders>
              <w:top w:val="single" w:sz="4" w:space="0" w:color="666666" w:themeColor="background1" w:themeShade="A6"/>
            </w:tcBorders>
          </w:tcPr>
          <w:tcPr>
            <w:vMerge w:val="restart"/>
          </w:tcPr>
          <w:p>
            <w:pPr>
              <w:pStyle w:val="NormalinTable"/>
            </w:pPr>
            <w:r>
              <w:t>6.80%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091854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1604 14 26</w:t>
            </w:r>
          </w:p>
        </w:tc>
        <!-- End commodity code cell //-->
        <!-- Begin Preferential Quota Duty Rate cell //-->
        <w:tc>
          <w:tcPr>
            <w:tcBorders>
              <w:top w:val="single" w:sz="12" w:space="0" w:color="000000" w:themeColor="background1" w:themeShade="00"/>
            </w:tcBorders>
          </w:tcPr>
          <w:tcPr>
            <w:vMerge w:val="restart"/>
          </w:tcPr>
          <w:p>
            <w:pPr>
              <w:pStyle w:val="NormalinTable"/>
            </w:pPr>
            <w:r>
              <w:t>6.00%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091855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1703 10 00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091857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1704 10 00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6.00%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091859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2005 60 00</w:t>
            </w:r>
          </w:p>
        </w:tc>
        <!-- End commodity code cell //-->
        <!-- Begin Preferential Quota Duty Rate cell //-->
        <w:tc>
          <w:tcPr>
            <w:tcBorders>
              <w:top w:val="single" w:sz="12" w:space="0" w:color="000000" w:themeColor="background1" w:themeShade="00"/>
            </w:tcBorders>
          </w:tcPr>
          <w:tcPr>
            <w:vMerge w:val="restart"/>
          </w:tcPr>
          <w:p>
            <w:pPr>
              <w:pStyle w:val="NormalinTable"/>
            </w:pPr>
            <w:r>
              <w:t>7.00%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091861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2008 97 51</w:t>
            </w:r>
          </w:p>
        </w:tc>
        <!-- End commodity code cell //-->
        <!-- Begin Preferential Quota Duty Rate cell //-->
        <w:tc>
          <w:tcPr>
            <w:tcBorders>
              <w:top w:val="single" w:sz="12" w:space="0" w:color="000000" w:themeColor="background1" w:themeShade="00"/>
            </w:tcBorders>
          </w:tcPr>
          <w:tcPr>
            <w:vMerge w:val="restart"/>
          </w:tcPr>
          <w:p>
            <w:pPr>
              <w:pStyle w:val="NormalinTable"/>
            </w:pPr>
            <w:r>
              <w:t>3.70%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2008 97 74</w:t>
            </w:r>
          </w:p>
        </w:tc>
        <!-- End commodity code cell //-->
        <!-- Begin Preferential Quota Duty Rate cell //-->
        <w:tc>
          <w:tcPr>
            <w:tcBorders>
              <w:top w:val="single" w:sz="4" w:space="0" w:color="666666" w:themeColor="background1" w:themeShade="A6"/>
            </w:tcBorders>
          </w:tcPr>
          <w:tcPr>
            <w:vMerge w:val="restart"/>
          </w:tcPr>
          <w:p>
            <w:pPr>
              <w:pStyle w:val="NormalinTable"/>
            </w:pPr>
            <w:r>
              <w:t>4.70%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2008 97 92</w:t>
            </w:r>
          </w:p>
        </w:tc>
        <!-- End commodity code cell //-->
        <!-- Begin Preferential Quota Duty Rate cell //-->
        <w:tc>
          <w:tcPr>
            <w:tcBorders>
              <w:top w:val="single" w:sz="4" w:space="0" w:color="666666" w:themeColor="background1" w:themeShade="A6"/>
            </w:tcBorders>
          </w:tcPr>
          <w:tcPr>
            <w:vMerge w:val="restart"/>
          </w:tcPr>
          <w:p>
            <w:pPr>
              <w:pStyle w:val="NormalinTable"/>
            </w:pPr>
            <w:r>
              <w:t>2.00%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2008 97 93</w:t>
            </w:r>
          </w:p>
        </w:tc>
        <!-- End commodity code cell //-->
        <!-- Begin Preferential Quota Duty Rate cell //-->
        <w:tc>
          <w:tcPr>
            <w:tcBorders>
              <w:top w:val="single" w:sz="4" w:space="0" w:color="666666" w:themeColor="background1" w:themeShade="A6"/>
            </w:tcBorders>
          </w:tcPr>
          <w:tcPr>
            <w:vMerge w:val="restart"/>
          </w:tcPr>
          <w:p>
            <w:pPr>
              <w:pStyle w:val="NormalinTable"/>
            </w:pPr>
            <w:r>
              <w:t>3.20%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2008 97 94</w:t>
            </w:r>
          </w:p>
        </w:tc>
        <!-- End commodity code cell //-->
        <!-- Begin Preferential Quota Duty Rate cell //-->
        <w:tc>
          <w:tcPr>
            <w:tcBorders>
              <w:top w:val="single" w:sz="4" w:space="0" w:color="666666" w:themeColor="background1" w:themeShade="A6"/>
            </w:tcBorders>
          </w:tcPr>
          <w:tcPr>
            <w:vMerge w:val="restart"/>
          </w:tcPr>
          <w:p>
            <w:pPr>
              <w:pStyle w:val="NormalinTable"/>
            </w:pPr>
            <w:r>
              <w:t>2.00%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2008 97 96</w:t>
            </w:r>
          </w:p>
        </w:tc>
        <!-- End commodity code cell //-->
        <!-- Begin Preferential Quota Duty Rate cell //-->
        <w:tc>
          <w:tcPr>
            <w:tcBorders>
              <w:top w:val="single" w:sz="4" w:space="0" w:color="666666" w:themeColor="background1" w:themeShade="A6"/>
            </w:tcBorders>
          </w:tcPr>
          <w:tcPr>
            <w:vMerge w:val="restart"/>
          </w:tcPr>
          <w:p>
            <w:pPr>
              <w:pStyle w:val="NormalinTable"/>
            </w:pPr>
            <w:r>
              <w:t>3.20%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2008 97 97</w:t>
            </w:r>
          </w:p>
        </w:tc>
        <!-- End commodity code cell //-->
        <!-- Begin Preferential Quota Duty Rate cell //-->
        <w:tc>
          <w:tcPr>
            <w:tcBorders>
              <w:top w:val="single" w:sz="4" w:space="0" w:color="666666" w:themeColor="background1" w:themeShade="A6"/>
            </w:tcBorders>
          </w:tcPr>
          <w:tcPr>
            <w:vMerge w:val="restart"/>
          </w:tcPr>
          <w:p>
            <w:pPr>
              <w:pStyle w:val="NormalinTable"/>
            </w:pPr>
            <w:r>
              <w:t>4.00%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2008 97 98</w:t>
            </w:r>
          </w:p>
        </w:tc>
        <!-- End commodity code cell //-->
        <!-- Begin Preferential Quota Duty Rate cell //-->
        <w:tc>
          <w:tcPr>
            <w:tcBorders>
              <w:top w:val="single" w:sz="4" w:space="0" w:color="666666" w:themeColor="background1" w:themeShade="A6"/>
            </w:tcBorders>
          </w:tcPr>
          <w:tcPr>
            <w:vMerge w:val="restart"/>
          </w:tcPr>
          <w:p>
            <w:pPr>
              <w:pStyle w:val="NormalinTable"/>
            </w:pPr>
            <w:r>
              <w:t>7.40%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091863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2009 11 11</w:t>
            </w:r>
          </w:p>
        </w:tc>
        <!-- End commodity code cell //-->
        <!-- Begin Preferential Quota Duty Rate cell //-->
        <w:tc>
          <w:tcPr>
            <w:tcBorders>
              <w:top w:val="single" w:sz="12" w:space="0" w:color="000000" w:themeColor="background1" w:themeShade="00"/>
            </w:tcBorders>
          </w:tcPr>
          <w:tcPr>
            <w:vMerge w:val="restart"/>
          </w:tcPr>
          <w:p>
            <w:pPr>
              <w:pStyle w:val="NormalinTable"/>
            </w:pPr>
            <w:r>
              <w:t>15.00% + 10.300 €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2009 11 19</w:t>
            </w:r>
          </w:p>
        </w:tc>
        <!-- End commodity code cell //-->
        <!-- Begin Preferential Quota Duty Rate cell //-->
        <w:tc>
          <w:tcPr>
            <w:tcBorders>
              <w:top w:val="single" w:sz="4" w:space="0" w:color="666666" w:themeColor="background1" w:themeShade="A6"/>
            </w:tcBorders>
          </w:tcPr>
          <w:tcPr>
            <w:vMerge w:val="restart"/>
          </w:tcPr>
          <w:p>
            <w:pPr>
              <w:pStyle w:val="NormalinTable"/>
            </w:pPr>
            <w:r>
              <w:t>14.20%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2009 11 91</w:t>
            </w:r>
          </w:p>
        </w:tc>
        <!-- End commodity code cell //-->
        <!-- Begin Preferential Quota Duty Rate cell //-->
        <w:tc>
          <w:tcPr>
            <w:tcBorders>
              <w:top w:val="single" w:sz="4" w:space="0" w:color="666666" w:themeColor="background1" w:themeShade="A6"/>
            </w:tcBorders>
          </w:tcPr>
          <w:tcPr>
            <w:vMerge w:val="restart"/>
          </w:tcPr>
          <w:p>
            <w:pPr>
              <w:pStyle w:val="NormalinTable"/>
            </w:pPr>
            <w:r>
              <w:t>5.80% + 10.300 €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2009 12 00</w:t>
            </w:r>
          </w:p>
        </w:tc>
        <!-- End commodity code cell //-->
        <!-- Begin Preferential Quota Duty Rate cell //-->
        <w:tc>
          <w:tcPr>
            <w:tcBorders>
              <w:top w:val="single" w:sz="4" w:space="0" w:color="666666" w:themeColor="background1" w:themeShade="A6"/>
            </w:tcBorders>
          </w:tcPr>
          <w:tcPr>
            <w:vMerge w:val="restart"/>
          </w:tcPr>
          <w:p>
            <w:pPr>
              <w:pStyle w:val="NormalinTable"/>
            </w:pPr>
            <w:r>
              <w:t>4.20%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2009 19 11</w:t>
            </w:r>
          </w:p>
        </w:tc>
        <!-- End commodity code cell //-->
        <!-- Begin Preferential Quota Duty Rate cell //-->
        <w:tc>
          <w:tcPr>
            <w:tcBorders>
              <w:top w:val="single" w:sz="4" w:space="0" w:color="666666" w:themeColor="background1" w:themeShade="A6"/>
            </w:tcBorders>
          </w:tcPr>
          <w:tcPr>
            <w:vMerge w:val="restart"/>
          </w:tcPr>
          <w:p>
            <w:pPr>
              <w:pStyle w:val="NormalinTable"/>
            </w:pPr>
            <w:r>
              <w:t>15.00% + 10.300 €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2009 19 19</w:t>
            </w:r>
          </w:p>
        </w:tc>
        <!-- End commodity code cell //-->
        <!-- Begin Preferential Quota Duty Rate cell //-->
        <w:tc>
          <w:tcPr>
            <w:tcBorders>
              <w:top w:val="single" w:sz="4" w:space="0" w:color="666666" w:themeColor="background1" w:themeShade="A6"/>
            </w:tcBorders>
          </w:tcPr>
          <w:tcPr>
            <w:vMerge w:val="restart"/>
          </w:tcPr>
          <w:p>
            <w:pPr>
              <w:pStyle w:val="NormalinTable"/>
            </w:pPr>
            <w:r>
              <w:t>14.20%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2009 19 91</w:t>
            </w:r>
          </w:p>
        </w:tc>
        <!-- End commodity code cell //-->
        <!-- Begin Preferential Quota Duty Rate cell //-->
        <w:tc>
          <w:tcPr>
            <w:tcBorders>
              <w:top w:val="single" w:sz="4" w:space="0" w:color="666666" w:themeColor="background1" w:themeShade="A6"/>
            </w:tcBorders>
          </w:tcPr>
          <w:tcPr>
            <w:vMerge w:val="restart"/>
          </w:tcPr>
          <w:p>
            <w:pPr>
              <w:pStyle w:val="NormalinTable"/>
            </w:pPr>
            <w:r>
              <w:t>5.80% + 10.300 €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2009 19 98</w:t>
            </w:r>
          </w:p>
        </w:tc>
        <!-- End commodity code cell //-->
        <!-- Begin Preferential Quota Duty Rate cell //-->
        <w:tc>
          <w:tcPr>
            <w:tcBorders>
              <w:top w:val="single" w:sz="4" w:space="0" w:color="666666" w:themeColor="background1" w:themeShade="A6"/>
            </w:tcBorders>
          </w:tcPr>
          <w:tcPr>
            <w:vMerge w:val="restart"/>
          </w:tcPr>
          <w:p>
            <w:pPr>
              <w:pStyle w:val="NormalinTable"/>
            </w:pPr>
            <w:r>
              <w:t>4.20%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091865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2009 11 99 11</w:t>
            </w:r>
          </w:p>
        </w:tc>
        <!-- End commodity code cell //-->
        <!-- Begin Preferential Quota Duty Rate cell //-->
        <w:tc>
          <w:tcPr>
            <w:tcBorders>
              <w:top w:val="single" w:sz="12" w:space="0" w:color="000000" w:themeColor="background1" w:themeShade="00"/>
            </w:tcBorders>
          </w:tcPr>
          <w:tcPr>
            <w:vMerge w:val="restart"/>
          </w:tcPr>
          <w:p>
            <w:pPr>
              <w:pStyle w:val="NormalinTable"/>
            </w:pPr>
            <w:r>
              <w:t>2.90%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2009 11 99 92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2009 11 99 96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091867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2009 41 92 10</w:t>
            </w:r>
          </w:p>
        </w:tc>
        <!-- End commodity code cell //-->
        <!-- Begin Preferential Quota Duty Rate cell //-->
        <w:tc>
          <w:tcPr>
            <w:tcBorders>
              <w:top w:val="single" w:sz="12" w:space="0" w:color="000000" w:themeColor="background1" w:themeShade="00"/>
            </w:tcBorders>
          </w:tcPr>
          <w:tcPr>
            <w:vMerge w:val="restart"/>
          </w:tcPr>
          <w:p>
            <w:pPr>
              <w:pStyle w:val="NormalinTable"/>
            </w:pPr>
            <w:r>
              <w:t>5.80%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2009 41 92 20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2009 41 92 30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2009 41 99</w:t>
            </w:r>
          </w:p>
        </w:tc>
        <!-- End commodity code cell //-->
        <!-- Begin Preferential Quota Duty Rate cell //-->
        <w:tc>
          <w:tcPr>
            <w:tcBorders>
              <w:top w:val="single" w:sz="4" w:space="0" w:color="666666" w:themeColor="background1" w:themeShade="A6"/>
            </w:tcBorders>
          </w:tcPr>
          <w:tcPr>
            <w:vMerge w:val="restart"/>
          </w:tcPr>
          <w:p>
            <w:pPr>
              <w:pStyle w:val="NormalinTable"/>
            </w:pPr>
            <w:r>
              <w:t>6.20%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2009 49 11</w:t>
            </w:r>
          </w:p>
        </w:tc>
        <!-- End commodity code cell //-->
        <!-- Begin Preferential Quota Duty Rate cell //-->
        <w:tc>
          <w:tcPr>
            <w:tcBorders>
              <w:top w:val="single" w:sz="4" w:space="0" w:color="666666" w:themeColor="background1" w:themeShade="A6"/>
            </w:tcBorders>
          </w:tcPr>
          <w:tcPr>
            <w:vMerge w:val="restart"/>
          </w:tcPr>
          <w:p>
            <w:pPr>
              <w:pStyle w:val="NormalinTable"/>
            </w:pPr>
            <w:r>
              <w:t>15.00% + 10.300 €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2009 49 19</w:t>
            </w:r>
          </w:p>
        </w:tc>
        <!-- End commodity code cell //-->
        <!-- Begin Preferential Quota Duty Rate cell //-->
        <w:tc>
          <w:tcPr>
            <w:tcBorders>
              <w:top w:val="single" w:sz="4" w:space="0" w:color="666666" w:themeColor="background1" w:themeShade="A6"/>
            </w:tcBorders>
          </w:tcPr>
          <w:tcPr>
            <w:vMerge w:val="restart"/>
          </w:tcPr>
          <w:p>
            <w:pPr>
              <w:pStyle w:val="NormalinTable"/>
            </w:pPr>
            <w:r>
              <w:t>14.20%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2009 49 30</w:t>
            </w:r>
          </w:p>
        </w:tc>
        <!-- End commodity code cell //-->
        <!-- Begin Preferential Quota Duty Rate cell //-->
        <w:tc>
          <w:tcPr>
            <w:tcBorders>
              <w:top w:val="single" w:sz="4" w:space="0" w:color="666666" w:themeColor="background1" w:themeShade="A6"/>
            </w:tcBorders>
          </w:tcPr>
          <w:tcPr>
            <w:vMerge w:val="restart"/>
          </w:tcPr>
          <w:p>
            <w:pPr>
              <w:pStyle w:val="NormalinTable"/>
            </w:pPr>
            <w:r>
              <w:t>5.80%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2009 49 91</w:t>
            </w:r>
          </w:p>
        </w:tc>
        <!-- End commodity code cell //-->
        <!-- Begin Preferential Quota Duty Rate cell //-->
        <w:tc>
          <w:tcPr>
            <w:tcBorders>
              <w:top w:val="single" w:sz="4" w:space="0" w:color="666666" w:themeColor="background1" w:themeShade="A6"/>
            </w:tcBorders>
          </w:tcPr>
          <w:tcPr>
            <w:vMerge w:val="restart"/>
          </w:tcPr>
          <w:p>
            <w:pPr>
              <w:pStyle w:val="NormalinTable"/>
            </w:pPr>
            <w:r>
              <w:t>5.80% + 10.300 €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2009 49 99</w:t>
            </w:r>
          </w:p>
        </w:tc>
        <!-- End commodity code cell //-->
        <!-- Begin Preferential Quota Duty Rate cell //-->
        <w:tc>
          <w:tcPr>
            <w:tcBorders>
              <w:top w:val="single" w:sz="4" w:space="0" w:color="666666" w:themeColor="background1" w:themeShade="A6"/>
            </w:tcBorders>
          </w:tcPr>
          <w:tcPr>
            <w:vMerge w:val="restart"/>
          </w:tcPr>
          <w:p>
            <w:pPr>
              <w:pStyle w:val="NormalinTable"/>
            </w:pPr>
            <w:r>
              <w:t>6.20%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091875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0408 11 80</w:t>
            </w:r>
          </w:p>
        </w:tc>
        <!-- End commodity code cell //-->
        <!-- Begin Preferential Quota Duty Rate cell //-->
        <w:tc>
          <w:tcPr>
            <w:tcBorders>
              <w:top w:val="single" w:sz="12" w:space="0" w:color="000000" w:themeColor="background1" w:themeShade="00"/>
            </w:tcBorders>
          </w:tcPr>
          <w:tcPr>
            <w:vMerge w:val="restart"/>
          </w:tcPr>
          <w:p>
            <w:pPr>
              <w:pStyle w:val="NormalinTable"/>
            </w:pPr>
            <w:r>
              <w:t>71.100 €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091877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0408 19 81</w:t>
            </w:r>
          </w:p>
        </w:tc>
        <!-- End commodity code cell //-->
        <!-- Begin Preferential Quota Duty Rate cell //-->
        <w:tc>
          <w:tcPr>
            <w:tcBorders>
              <w:top w:val="single" w:sz="12" w:space="0" w:color="000000" w:themeColor="background1" w:themeShade="00"/>
            </w:tcBorders>
          </w:tcPr>
          <w:tcPr>
            <w:vMerge w:val="restart"/>
          </w:tcPr>
          <w:p>
            <w:pPr>
              <w:pStyle w:val="NormalinTable"/>
            </w:pPr>
            <w:r>
              <w:t>31.000 €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0408 19 89</w:t>
            </w:r>
          </w:p>
        </w:tc>
        <!-- End commodity code cell //-->
        <!-- Begin Preferential Quota Duty Rate cell //-->
        <w:tc>
          <w:tcPr>
            <w:tcBorders>
              <w:top w:val="single" w:sz="4" w:space="0" w:color="666666" w:themeColor="background1" w:themeShade="A6"/>
            </w:tcBorders>
          </w:tcPr>
          <w:tcPr>
            <w:vMerge w:val="restart"/>
          </w:tcPr>
          <w:p>
            <w:pPr>
              <w:pStyle w:val="NormalinTable"/>
            </w:pPr>
            <w:r>
              <w:t>33.100 €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091879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0408 91 80</w:t>
            </w:r>
          </w:p>
        </w:tc>
        <!-- End commodity code cell //-->
        <!-- Begin Preferential Quota Duty Rate cell //-->
        <w:tc>
          <w:tcPr>
            <w:tcBorders>
              <w:top w:val="single" w:sz="12" w:space="0" w:color="000000" w:themeColor="background1" w:themeShade="00"/>
            </w:tcBorders>
          </w:tcPr>
          <w:tcPr>
            <w:vMerge w:val="restart"/>
          </w:tcPr>
          <w:p>
            <w:pPr>
              <w:pStyle w:val="NormalinTable"/>
            </w:pPr>
            <w:r>
              <w:t>68.700 €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091881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0408 99 80</w:t>
            </w:r>
          </w:p>
        </w:tc>
        <!-- End commodity code cell //-->
        <!-- Begin Preferential Quota Duty Rate cell //-->
        <w:tc>
          <w:tcPr>
            <w:tcBorders>
              <w:top w:val="single" w:sz="12" w:space="0" w:color="000000" w:themeColor="background1" w:themeShade="00"/>
            </w:tcBorders>
          </w:tcPr>
          <w:tcPr>
            <w:vMerge w:val="restart"/>
          </w:tcPr>
          <w:p>
            <w:pPr>
              <w:pStyle w:val="NormalinTable"/>
            </w:pPr>
            <w:r>
              <w:t>17.600 €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091883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3502 11 90 10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091885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3502 11 90 90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091887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3502 19 90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Economics Partnership, Political Coordination and Corporation Agreement between the United Kingdom of Great Britain and Northern Ireland and the United Mexican States, version 1.0, dated 5 February 2019</dc:title>
  <dc:subject/>
  <dc:creator>Department for International Trade - Trade Policy Group</dc:creator>
  <cp:keywords>Mexico</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