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South Africa,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South Africa,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15/10</w:t>
            </w:r>
            <w:r>
              <w:tab/>
              <w:t>0.00%</w:t>
            </w:r>
            <w:r>
              <w:br/>
            </w:r>
            <w:r>
              <w:t>16/10 to 30/11</w:t>
            </w:r>
            <w:r>
              <w:tab/>
              <w:t>10.20%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15/10</w:t>
            </w:r>
            <w:r>
              <w:tab/>
              <w:t>0.00%</w:t>
            </w:r>
            <w:r>
              <w:br/>
            </w:r>
            <w:r>
              <w:t>16/10 to 30/11</w:t>
            </w:r>
            <w:r>
              <w:tab/>
              <w:t>10.20%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15/10</w:t>
            </w:r>
            <w:r>
              <w:tab/>
              <w:t>0.00%</w:t>
            </w:r>
            <w:r>
              <w:br/>
            </w:r>
            <w:r>
              <w:t>16/10 to 30/11</w:t>
            </w:r>
            <w:r>
              <w:tab/>
              <w:t>10.20%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01/11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 + 45.100 € / 100 kg MAX 18.90% + 16.500 €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- 10.70%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20.40%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2009 41 92 20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7.30%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4.40%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 + 4.400 €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0.700 € / % vol / hl + 4.400 €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0.700 €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0811 10 90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127,000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22,045,000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49,320,000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091818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1702 30 50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2007 91 30</w:t>
            </w:r>
          </w:p>
        </w:tc>
        <!-- End commodity code cell //-->
        <!-- Begin Preferential Quota Duty Rate cell //-->
        <w:tc>
          <w:tcPr>
            <w:tcBorders>
              <w:top w:val="single" w:sz="12" w:space="0" w:color="000000" w:themeColor="background1" w:themeShade="00"/>
            </w:tcBorders>
          </w:tcPr>
          <w:tcPr>
            <w:vMerge w:val="restart"/>
          </w:tcPr>
          <w:p>
            <w:pPr>
              <w:pStyle w:val="NormalinTable"/>
            </w:pPr>
            <w:r>
              <w:t>10.00% + 2.100 €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32,000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2007 99 39 16</w:t>
            </w:r>
          </w:p>
        </w:tc>
        <!-- End commodity code cell //-->
        <!-- Begin Preferential Quota Duty Rate cell //-->
        <w:tc>
          <w:tcPr>
            <w:tcBorders>
              <w:top w:val="single" w:sz="12" w:space="0" w:color="000000" w:themeColor="background1" w:themeShade="00"/>
            </w:tcBorders>
          </w:tcPr>
          <w:tcPr>
            <w:vMerge w:val="restart"/>
          </w:tcPr>
          <w:p>
            <w:pPr>
              <w:pStyle w:val="NormalinTable"/>
            </w:pPr>
            <w:r>
              <w:t>9.10% MAX 7.60% + 7.360 €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18,181,000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2007 99 39 18</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2007 99 39 26</w:t>
            </w:r>
          </w:p>
        </w:tc>
        <!-- End commodity code cell //-->
        <!-- Begin Preferential Quota Duty Rate cell //-->
        <w:tc>
          <w:tcPr>
            <w:tcBorders>
              <w:top w:val="single" w:sz="4" w:space="0" w:color="666666" w:themeColor="background1" w:themeShade="A6"/>
            </w:tcBorders>
          </w:tcPr>
          <w:tcPr>
            <w:vMerge w:val="restart"/>
          </w:tcPr>
          <w:p>
            <w:pPr>
              <w:pStyle w:val="NormalinTable"/>
            </w:pPr>
            <w:r>
              <w:t>10.80%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2007 99 39 29</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2007 99 39 39</w:t>
            </w:r>
          </w:p>
        </w:tc>
        <!-- End commodity code cell //-->
        <!-- Begin Preferential Quota Duty Rate cell //-->
        <w:tc>
          <w:tcPr>
            <w:tcBorders>
              <w:top w:val="single" w:sz="4" w:space="0" w:color="666666" w:themeColor="background1" w:themeShade="A6"/>
            </w:tcBorders>
          </w:tcPr>
          <w:tcPr>
            <w:vMerge w:val="restart"/>
          </w:tcPr>
          <w:p>
            <w:pPr>
              <w:pStyle w:val="NormalinTable"/>
            </w:pPr>
            <w:r>
              <w:t>9.10%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2007 99 39 46</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2007 99 39 54</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2007 99 39 56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2007 99 50 41</w:t>
            </w:r>
          </w:p>
        </w:tc>
        <!-- End commodity code cell //-->
        <!-- Begin Preferential Quota Duty Rate cell //-->
        <w:tc>
          <w:tcPr>
            <w:tcBorders>
              <w:top w:val="single" w:sz="4" w:space="0" w:color="666666" w:themeColor="background1" w:themeShade="A6"/>
            </w:tcBorders>
          </w:tcPr>
          <w:tcPr>
            <w:vMerge w:val="restart"/>
          </w:tcPr>
          <w:p>
            <w:pPr>
              <w:pStyle w:val="NormalinTable"/>
            </w:pPr>
            <w:r>
              <w:t>9.10%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2007 99 50 42</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2007 99 50 43</w:t>
            </w:r>
          </w:p>
        </w:tc>
        <!-- End commodity code cell //-->
        <!-- Begin Preferential Quota Duty Rate cell //-->
        <w:tc>
          <w:tcPr>
            <w:tcBorders>
              <w:top w:val="single" w:sz="4" w:space="0" w:color="666666" w:themeColor="background1" w:themeShade="A6"/>
            </w:tcBorders>
          </w:tcPr>
          <w:tcPr>
            <w:vMerge w:val="restart"/>
          </w:tcPr>
          <w:p>
            <w:pPr>
              <w:pStyle w:val="NormalinTable"/>
            </w:pPr>
            <w:r>
              <w:t>9.10%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2007 99 50 45</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2007 99 50 47</w:t>
            </w:r>
          </w:p>
        </w:tc>
        <!-- End commodity code cell //-->
        <!-- Begin Preferential Quota Duty Rate cell //-->
        <w:tc>
          <w:tcPr>
            <w:tcBorders>
              <w:top w:val="single" w:sz="4" w:space="0" w:color="666666" w:themeColor="background1" w:themeShade="A6"/>
            </w:tcBorders>
          </w:tcPr>
          <w:tcPr>
            <w:vMerge w:val="restart"/>
          </w:tcPr>
          <w:p>
            <w:pPr>
              <w:pStyle w:val="NormalinTable"/>
            </w:pPr>
            <w:r>
              <w:t>10.80%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2007 99 50 49</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2007 99 50 51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2007 99 50 52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2007 99 50 53</w:t>
            </w:r>
          </w:p>
        </w:tc>
        <!-- End commodity code cell //-->
        <!-- Begin Preferential Quota Duty Rate cell //-->
        <w:tc>
          <w:tcPr>
            <w:tcBorders>
              <w:top w:val="single" w:sz="4" w:space="0" w:color="666666" w:themeColor="background1" w:themeShade="A6"/>
            </w:tcBorders>
          </w:tcPr>
          <w:tcPr>
            <w:vMerge w:val="restart"/>
          </w:tcPr>
          <w:p>
            <w:pPr>
              <w:pStyle w:val="NormalinTable"/>
            </w:pPr>
            <w:r>
              <w:t>9.10%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2007 99 50 62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2007 99 50 64</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2007 99 50 67</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2007 99 97 32</w:t>
            </w:r>
          </w:p>
        </w:tc>
        <!-- End commodity code cell //-->
        <!-- Begin Preferential Quota Duty Rate cell //-->
        <w:tc>
          <w:tcPr>
            <w:tcBorders>
              <w:top w:val="single" w:sz="4" w:space="0" w:color="666666" w:themeColor="background1" w:themeShade="A6"/>
            </w:tcBorders>
          </w:tcPr>
          <w:tcPr>
            <w:vMerge w:val="restart"/>
          </w:tcPr>
          <w:p>
            <w:pPr>
              <w:pStyle w:val="NormalinTable"/>
            </w:pPr>
            <w:r>
              <w:t>7.60%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2007 99 97 37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2007 99 97 39</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2007 99 97 40</w:t>
            </w:r>
          </w:p>
        </w:tc>
        <!-- End commodity code cell //-->
        <!-- Begin Preferential Quota Duty Rate cell //-->
        <w:tc>
          <w:tcPr>
            <w:tcBorders>
              <w:top w:val="single" w:sz="4" w:space="0" w:color="666666" w:themeColor="background1" w:themeShade="A6"/>
            </w:tcBorders>
          </w:tcPr>
          <w:tcPr>
            <w:vMerge w:val="restart"/>
          </w:tcPr>
          <w:p>
            <w:pPr>
              <w:pStyle w:val="NormalinTable"/>
            </w:pPr>
            <w:r>
              <w:t>7.60%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2007 99 97 52</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2007 99 97 57</w:t>
            </w:r>
          </w:p>
        </w:tc>
        <!-- End commodity code cell //-->
        <!-- Begin Preferential Quota Duty Rate cell //-->
        <w:tc>
          <w:tcPr>
            <w:tcBorders>
              <w:top w:val="single" w:sz="4" w:space="0" w:color="666666" w:themeColor="background1" w:themeShade="A6"/>
            </w:tcBorders>
          </w:tcPr>
          <w:tcPr>
            <w:vMerge w:val="restart"/>
          </w:tcPr>
          <w:p>
            <w:pPr>
              <w:pStyle w:val="NormalinTable"/>
            </w:pPr>
            <w:r>
              <w:t>7.60%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2007 99 97 62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2008 40 51</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2008 40 59</w:t>
            </w:r>
          </w:p>
        </w:tc>
        <!-- End commodity code cell //-->
        <!-- Begin Preferential Quota Duty Rate cell //-->
        <w:tc>
          <w:tcPr>
            <w:tcBorders>
              <w:top w:val="single" w:sz="4" w:space="0" w:color="666666" w:themeColor="background1" w:themeShade="A6"/>
            </w:tcBorders>
          </w:tcPr>
          <w:tcPr>
            <w:vMerge w:val="restart"/>
          </w:tcPr>
          <w:p>
            <w:pPr>
              <w:pStyle w:val="NormalinTable"/>
            </w:pPr>
            <w:r>
              <w:t>5.10%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2008 40 71</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2008 40 79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2008 40 90</w:t>
            </w:r>
          </w:p>
        </w:tc>
        <!-- End commodity code cell //-->
        <!-- Begin Preferential Quota Duty Rate cell //-->
        <w:tc>
          <w:tcPr>
            <w:tcBorders>
              <w:top w:val="single" w:sz="4" w:space="0" w:color="666666" w:themeColor="background1" w:themeShade="A6"/>
            </w:tcBorders>
          </w:tcPr>
          <w:tcPr>
            <w:vMerge w:val="restart"/>
          </w:tcPr>
          <w:p>
            <w:pPr>
              <w:pStyle w:val="NormalinTable"/>
            </w:pPr>
            <w:r>
              <w:t>5.30%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2008 50 61</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2008 50 69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2008 50 71</w:t>
            </w:r>
          </w:p>
        </w:tc>
        <!-- End commodity code cell //-->
        <!-- Begin Preferential Quota Duty Rate cell //-->
        <w:tc>
          <w:tcPr>
            <w:tcBorders>
              <w:top w:val="single" w:sz="4" w:space="0" w:color="666666" w:themeColor="background1" w:themeShade="A6"/>
            </w:tcBorders>
          </w:tcPr>
          <w:tcPr>
            <w:vMerge w:val="restart"/>
          </w:tcPr>
          <w:p>
            <w:pPr>
              <w:pStyle w:val="NormalinTable"/>
            </w:pPr>
            <w:r>
              <w:t>6.60%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2008 50 79</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4.30%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2008 50 98 11</w:t>
            </w:r>
          </w:p>
        </w:tc>
        <!-- End commodity code cell //-->
        <!-- Begin Preferential Quota Duty Rate cell //-->
        <w:tc>
          <w:tcPr>
            <w:tcBorders>
              <w:top w:val="single" w:sz="4" w:space="0" w:color="666666" w:themeColor="background1" w:themeShade="A6"/>
            </w:tcBorders>
          </w:tcPr>
          <w:tcPr>
            <w:vMerge w:val="restart"/>
          </w:tcPr>
          <w:p>
            <w:pPr>
              <w:pStyle w:val="NormalinTable"/>
            </w:pPr>
            <w:r>
              <w:t>5.40%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2008 50 98 93</w:t>
            </w:r>
          </w:p>
        </w:tc>
        <!-- End commodity code cell //-->
        <!-- Begin Preferential Quota Duty Rate cell //-->
        <w:tc>
          <w:tcPr>
            <w:tcBorders>
              <w:top w:val="single" w:sz="4" w:space="0" w:color="666666" w:themeColor="background1" w:themeShade="A6"/>
            </w:tcBorders>
          </w:tcPr>
          <w:tcPr>
            <w:vMerge w:val="restart"/>
          </w:tcPr>
          <w:p>
            <w:pPr>
              <w:pStyle w:val="NormalinTable"/>
            </w:pPr>
            <w:r>
              <w:t>5.80%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2008 70 61</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2008 70 69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2008 70 71</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2008 70 79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2008 70 92</w:t>
            </w:r>
          </w:p>
        </w:tc>
        <!-- End commodity code cell //-->
        <!-- Begin Preferential Quota Duty Rate cell //-->
        <w:tc>
          <w:tcPr>
            <w:tcBorders>
              <w:top w:val="single" w:sz="4" w:space="0" w:color="666666" w:themeColor="background1" w:themeShade="A6"/>
            </w:tcBorders>
          </w:tcPr>
          <w:tcPr>
            <w:vMerge w:val="restart"/>
          </w:tcPr>
          <w:p>
            <w:pPr>
              <w:pStyle w:val="NormalinTable"/>
            </w:pPr>
            <w:r>
              <w:t>4.80%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2008 70 98</w:t>
            </w:r>
          </w:p>
        </w:tc>
        <!-- End commodity code cell //-->
        <!-- Begin Preferential Quota Duty Rate cell //-->
        <w:tc>
          <w:tcPr>
            <w:tcBorders>
              <w:top w:val="single" w:sz="4" w:space="0" w:color="666666" w:themeColor="background1" w:themeShade="A6"/>
            </w:tcBorders>
          </w:tcPr>
          <w:tcPr>
            <w:vMerge w:val="restart"/>
          </w:tcPr>
          <w:p>
            <w:pPr>
              <w:pStyle w:val="NormalinTable"/>
            </w:pPr>
            <w:r>
              <w:t>5.80%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2008 97 59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2008 97 74</w:t>
            </w:r>
          </w:p>
        </w:tc>
        <!-- End commodity code cell //-->
        <!-- Begin Preferential Quota Duty Rate cell //-->
        <w:tc>
          <w:tcPr>
            <w:tcBorders>
              <w:top w:val="single" w:sz="4" w:space="0" w:color="666666" w:themeColor="background1" w:themeShade="A6"/>
            </w:tcBorders>
          </w:tcPr>
          <w:tcPr>
            <w:vMerge w:val="restart"/>
          </w:tcPr>
          <w:p>
            <w:pPr>
              <w:pStyle w:val="NormalinTable"/>
            </w:pPr>
            <w:r>
              <w:t>4.30%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2008 97 78</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2008 97 98</w:t>
            </w:r>
          </w:p>
        </w:tc>
        <!-- End commodity code cell //-->
        <!-- Begin Preferential Quota Duty Rate cell //-->
        <w:tc>
          <w:tcPr>
            <w:tcBorders>
              <w:top w:val="single" w:sz="4" w:space="0" w:color="666666" w:themeColor="background1" w:themeShade="A6"/>
            </w:tcBorders>
          </w:tcPr>
          <w:tcPr>
            <w:vMerge w:val="restart"/>
          </w:tcPr>
          <w:p>
            <w:pPr>
              <w:pStyle w:val="NormalinTable"/>
            </w:pPr>
            <w:r>
              <w:t>5.80%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2007 99 39 43</w:t>
            </w:r>
          </w:p>
        </w:tc>
        <!-- End commodity code cell //-->
        <!-- Begin Preferential Quota Duty Rate cell //-->
        <w:tc>
          <w:tcPr>
            <w:tcBorders>
              <w:top w:val="single" w:sz="12" w:space="0" w:color="000000" w:themeColor="background1" w:themeShade="00"/>
            </w:tcBorders>
          </w:tcPr>
          <w:tcPr>
            <w:vMerge w:val="restart"/>
          </w:tcPr>
          <w:p>
            <w:pPr>
              <w:pStyle w:val="NormalinTable"/>
            </w:pPr>
            <w:r>
              <w:t>4.90%</w:t>
            </w:r>
          </w:p>
        </w:tc>
        <!-- End Preferential Quota Duty Rate cell //-->
        <!-- Begin Quota Volume cell //-->
        <w:tc>
          <w:tcPr>
            <w:tcBorders>
              <w:top w:val="single" w:sz="12" w:space="0" w:color="000000" w:themeColor="background1" w:themeShade="00"/>
            </w:tcBorders>
          </w:tcPr>
          <w:tcPr>
            <w:vMerge w:val="restart"/>
          </w:tcPr>
          <w:p>
            <w:pPr>
              <w:pStyle w:val="NormalinTable"/>
            </w:pPr>
            <w:r>
              <w:t>999,000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2008 97 72</w:t>
            </w:r>
          </w:p>
        </w:tc>
        <!-- End commodity code cell //-->
        <!-- Begin Preferential Quota Duty Rate cell //-->
        <w:tc>
          <w:tcPr>
            <w:tcBorders>
              <w:top w:val="single" w:sz="4" w:space="0" w:color="666666" w:themeColor="background1" w:themeShade="A6"/>
            </w:tcBorders>
          </w:tcPr>
          <w:tcPr>
            <w:vMerge w:val="restart"/>
          </w:tcPr>
          <w:p>
            <w:pPr>
              <w:pStyle w:val="NormalinTable"/>
            </w:pPr>
            <w:r>
              <w:t>4.20%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2009 11 99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350,000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2009 71 00</w:t>
            </w:r>
          </w:p>
        </w:tc>
        <!-- End commodity code cell //-->
        <!-- Begin Preferential Quota Duty Rate cell //-->
        <w:tc>
          <w:tcPr>
            <w:tcBorders>
              <w:top w:val="single" w:sz="12" w:space="0" w:color="000000" w:themeColor="background1" w:themeShade="00"/>
            </w:tcBorders>
          </w:tcPr>
          <w:tcPr>
            <w:vMerge w:val="restart"/>
          </w:tcPr>
          <w:p>
            <w:pPr>
              <w:pStyle w:val="NormalinTable"/>
            </w:pPr>
            <w:r>
              <w:t>9.00%</w:t>
            </w:r>
          </w:p>
        </w:tc>
        <!-- End Preferential Quota Duty Rate cell //-->
        <!-- Begin Quota Volume cell //-->
        <w:tc>
          <w:tcPr>
            <w:tcBorders>
              <w:top w:val="single" w:sz="12" w:space="0" w:color="000000" w:themeColor="background1" w:themeShade="00"/>
            </w:tcBorders>
          </w:tcPr>
          <w:tcPr>
            <w:vMerge w:val="restart"/>
          </w:tcPr>
          <w:p>
            <w:pPr>
              <w:pStyle w:val="NormalinTable"/>
            </w:pPr>
            <w:r>
              <w:t>1,218,000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2009 79 11</w:t>
            </w:r>
          </w:p>
        </w:tc>
        <!-- End commodity code cell //-->
        <!-- Begin Preferential Quota Duty Rate cell //-->
        <w:tc>
          <w:tcPr>
            <w:tcBorders>
              <w:top w:val="single" w:sz="4" w:space="0" w:color="666666" w:themeColor="background1" w:themeShade="A6"/>
            </w:tcBorders>
          </w:tcPr>
          <w:tcPr>
            <w:vMerge w:val="restart"/>
          </w:tcPr>
          <w:p>
            <w:pPr>
              <w:pStyle w:val="NormalinTable"/>
            </w:pPr>
            <w:r>
              <w:t>15.00% + 9.200 €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2009 79 19</w:t>
            </w:r>
          </w:p>
        </w:tc>
        <!-- End commodity code cell //-->
        <!-- Begin Preferential Quota Duty Rate cell //-->
        <w:tc>
          <w:tcPr>
            <w:tcBorders>
              <w:top w:val="single" w:sz="4" w:space="0" w:color="666666" w:themeColor="background1" w:themeShade="A6"/>
            </w:tcBorders>
          </w:tcPr>
          <w:tcPr>
            <w:vMerge w:val="restart"/>
          </w:tcPr>
          <w:p>
            <w:pPr>
              <w:pStyle w:val="NormalinTable"/>
            </w:pPr>
            <w:r>
              <w:t>15.00%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2009 79 30</w:t>
            </w:r>
          </w:p>
        </w:tc>
        <!-- End commodity code cell //-->
        <!-- Begin Preferential Quota Duty Rate cell //-->
        <w:tc>
          <w:tcPr>
            <w:tcBorders>
              <w:top w:val="single" w:sz="4" w:space="0" w:color="666666" w:themeColor="background1" w:themeShade="A6"/>
            </w:tcBorders>
          </w:tcPr>
          <w:tcPr>
            <w:vMerge w:val="restart"/>
          </w:tcPr>
          <w:p>
            <w:pPr>
              <w:pStyle w:val="NormalinTable"/>
            </w:pPr>
            <w:r>
              <w:t>9.00%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2009 79 91</w:t>
            </w:r>
          </w:p>
        </w:tc>
        <!-- End commodity code cell //-->
        <!-- Begin Preferential Quota Duty Rate cell //-->
        <w:tc>
          <w:tcPr>
            <w:tcBorders>
              <w:top w:val="single" w:sz="4" w:space="0" w:color="666666" w:themeColor="background1" w:themeShade="A6"/>
            </w:tcBorders>
          </w:tcPr>
          <w:tcPr>
            <w:vMerge w:val="restart"/>
          </w:tcPr>
          <w:p>
            <w:pPr>
              <w:pStyle w:val="NormalinTable"/>
            </w:pPr>
            <w:r>
              <w:t>9.00% + 9.650 €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2009 79 98</w:t>
            </w:r>
          </w:p>
        </w:tc>
        <!-- End commodity code cell //-->
        <!-- Begin Preferential Quota Duty Rate cell //-->
        <w:tc>
          <w:tcPr>
            <w:tcBorders>
              <w:top w:val="single" w:sz="4" w:space="0" w:color="666666" w:themeColor="background1" w:themeShade="A6"/>
            </w:tcBorders>
          </w:tcPr>
          <w:tcPr>
            <w:vMerge w:val="restart"/>
          </w:tcPr>
          <w:p>
            <w:pPr>
              <w:pStyle w:val="NormalinTable"/>
            </w:pPr>
            <w:r>
              <w:t>9.00%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091830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2102 10 90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111,000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091892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49,118,818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091893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21,050,922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091894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2207 00 00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25,448,000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South Africa, version 1.0, dated 5 February 2019</dc:title>
  <dc:subject/>
  <dc:creator>Department for International Trade - Trade Policy Group</dc:creator>
  <cp:keywords>South Africa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