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Bosnia and Herzegovina,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Bosnia and Herzegovina,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0408 19 89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114.000 €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091529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2204 22 10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0304 99 21 12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0304 99 21 20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0302 73 00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0304 39 00 20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0304 69 00 20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0304 93 90 10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0305 31 00 10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0305 52 00 10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0305 64 00 10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0301 99 85 80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0303 89 50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0301 99 85 22</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0303 84 10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0304 49 90 70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0304 59 90 45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0304 89 90 40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0304 99 99 70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0305 10 00 40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0305 39 90 80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0305 49 80 50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0305 59 85 67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0305 69 80 67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1604 13 11</w:t>
            </w:r>
          </w:p>
        </w:tc>
        <!-- End commodity code cell //-->
        <!-- Begin Preferential Quota Duty Rate cell //-->
        <w:tc>
          <w:tcPr>
            <w:tcBorders>
              <w:top w:val="single" w:sz="12" w:space="0" w:color="000000" w:themeColor="background1" w:themeShade="00"/>
            </w:tcBorders>
          </w:tcPr>
          <w:tcPr>
            <w:vMerge w:val="restart"/>
          </w:tcPr>
          <w:p>
            <w:pPr>
              <w:pStyle w:val="NormalinTable"/>
            </w:pPr>
            <w:r>
              <w:t>6.00%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091599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1604 16 00</w:t>
            </w:r>
          </w:p>
        </w:tc>
        <!-- End commodity code cell //-->
        <!-- Begin Preferential Quota Duty Rate cell //-->
        <w:tc>
          <w:tcPr>
            <w:tcBorders>
              <w:top w:val="single" w:sz="12" w:space="0" w:color="000000" w:themeColor="background1" w:themeShade="00"/>
            </w:tcBorders>
          </w:tcPr>
          <w:tcPr>
            <w:vMerge w:val="restart"/>
          </w:tcPr>
          <w:p>
            <w:pPr>
              <w:pStyle w:val="NormalinTable"/>
            </w:pPr>
            <w:r>
              <w:t>12.50%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1702 11 00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1702 19 00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094504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0102 29 51 10</w:t>
            </w:r>
          </w:p>
        </w:tc>
        <!-- End commodity code cell //-->
        <!-- Begin Preferential Quota Duty Rate cell //-->
        <w:tc>
          <w:tcPr>
            <w:tcBorders>
              <w:top w:val="single" w:sz="12" w:space="0" w:color="000000" w:themeColor="background1" w:themeShade="00"/>
            </w:tcBorders>
          </w:tcPr>
          <w:tcPr>
            <w:vMerge w:val="restart"/>
          </w:tcPr>
          <w:p>
            <w:pPr>
              <w:pStyle w:val="NormalinTable"/>
            </w:pPr>
            <w:r>
              <w:t>2.00% + 18.600 €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0102 29 59 91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0102 29 99 91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0201 10 00 92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+ 35.300 €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0201 10 00 94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0201 20 20 94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0201 20 30 92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+ 28.200 €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0201 20 30 94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0201 20 50 92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2.50% + 42.400 €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0201 20 50 94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Bosnia and Herzegovina, version 1.0, dated 5 February 2019</dc:title>
  <dc:subject/>
  <dc:creator>Department for International Trade - Trade Policy Group</dc:creator>
  <cp:keywords>Bosnia and Herzegovina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