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Macedonia,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Macedonia,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0301 99 17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0303 14 20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0304 42 50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0304 51 00 10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0304 52 00 10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0304 82 50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0305 31 00 10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0305 44 90 90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0305 64 00 10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0308 30 80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0408 11 80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0408 19 81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0408 19 89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0408 91 80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114.000 €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31/01</w:t>
            </w:r>
            <w:r>
              <w:tab/>
              <w:t>0.00%</w:t>
            </w:r>
            <w:r>
              <w:br/>
            </w:r>
            <w:r>
              <w:t>01/12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20/07</w:t>
            </w:r>
            <w:r>
              <w:tab/>
              <w:t>0.00%</w:t>
            </w:r>
            <w:r>
              <w:br/>
            </w:r>
            <w:r>
              <w:t>21/07 to 20/11</w:t>
            </w:r>
            <w:r>
              <w:tab/>
              <w:t>Entry Price - 0.00% + Specific 100%</w:t>
            </w:r>
            <w:r>
              <w:br/>
            </w:r>
            <w:r>
              <w:t>21/11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16/09 to 15/12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01/05 to 30/06</w:t>
            </w:r>
            <w:r>
              <w:tab/>
              <w:t>0.00%</w:t>
            </w:r>
            <w:r>
              <w:br/>
            </w:r>
            <w:r>
              <w:t>01/07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0.00%</w:t>
            </w:r>
            <w:r>
              <w:br/>
            </w:r>
            <w:r>
              <w:t>01/06 to 31/07</w:t>
            </w:r>
            <w:r>
              <w:tab/>
              <w:t>Entry Price - 0.00% + Specific 100%</w:t>
            </w:r>
            <w:r>
              <w:br/>
            </w: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1209 23 80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2903 77 60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2903 77 90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2915 60 90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2930 90 16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3006 70 00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3207 40 85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3706 10 99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3706 90 99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3912 39 85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4002 99 10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4106 22 90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4407 27 10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4407 28 91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4407 95 91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4414 00 10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4418 73 10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4421 99 10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7806 00 80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8106 00 90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8506 80 80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8518 30 95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8528 69 20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8531 80 40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8536 90 01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8904 00 99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8906 90 99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9025 11 80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9027 80 05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9506 70 30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9506 70 90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9620 00 10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9620 00 91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091530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2204 21 93 19</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091558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2204 10 93</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091559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2204 22 10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094327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1701 00 00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1702 00 00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094505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0102 29 51 10</w:t>
            </w:r>
          </w:p>
        </w:tc>
        <!-- End commodity code cell //-->
        <!-- Begin Preferential Quota Duty Rate cell //-->
        <w:tc>
          <w:tcPr>
            <w:tcBorders>
              <w:top w:val="single" w:sz="12" w:space="0" w:color="000000" w:themeColor="background1" w:themeShade="00"/>
            </w:tcBorders>
          </w:tcPr>
          <w:tcPr>
            <w:vMerge w:val="restart"/>
          </w:tcPr>
          <w:p>
            <w:pPr>
              <w:pStyle w:val="NormalinTable"/>
            </w:pPr>
            <w:r>
              <w:t>2.00% + 18.600 €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0102 29 59 11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0102 29 59 21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0102 29 59 31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0102 29 59 91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0102 29 91 10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0102 29 99 21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0102 29 99 91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0201 10 00 92</w:t>
            </w:r>
          </w:p>
        </w:tc>
        <!-- End commodity code cell //-->
        <!-- Begin Preferential Quota Duty Rate cell //-->
        <w:tc>
          <w:tcPr>
            <w:tcBorders>
              <w:top w:val="single" w:sz="4" w:space="0" w:color="666666" w:themeColor="background1" w:themeShade="A6"/>
            </w:tcBorders>
          </w:tcPr>
          <w:tcPr>
            <w:vMerge w:val="restart"/>
          </w:tcPr>
          <w:p>
            <w:pPr>
              <w:pStyle w:val="NormalinTable"/>
            </w:pPr>
            <w:r>
              <w:t>2.50% + 35.300 €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0201 10 00 94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0201 20 20 92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0201 20 20 94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0201 20 30 92</w:t>
            </w:r>
          </w:p>
        </w:tc>
        <!-- End commodity code cell //-->
        <!-- Begin Preferential Quota Duty Rate cell //-->
        <w:tc>
          <w:tcPr>
            <w:tcBorders>
              <w:top w:val="single" w:sz="4" w:space="0" w:color="666666" w:themeColor="background1" w:themeShade="A6"/>
            </w:tcBorders>
          </w:tcPr>
          <w:tcPr>
            <w:vMerge w:val="restart"/>
          </w:tcPr>
          <w:p>
            <w:pPr>
              <w:pStyle w:val="NormalinTable"/>
            </w:pPr>
            <w:r>
              <w:t>2.50% + 28.200 €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0201 20 30 94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0201 20 50 92</w:t>
            </w:r>
          </w:p>
        </w:tc>
        <!-- End commodity code cell //-->
        <!-- Begin Preferential Quota Duty Rate cell //-->
        <w:tc>
          <w:tcPr>
            <w:tcBorders>
              <w:top w:val="single" w:sz="4" w:space="0" w:color="666666" w:themeColor="background1" w:themeShade="A6"/>
            </w:tcBorders>
          </w:tcPr>
          <w:tcPr>
            <w:vMerge w:val="restart"/>
          </w:tcPr>
          <w:p>
            <w:pPr>
              <w:pStyle w:val="NormalinTable"/>
            </w:pPr>
            <w:r>
              <w:t>2.50% + 42.400 €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0201 20 50 94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Macedonia, version 1.0, dated 5 February 2019</dc:title>
  <dc:subject/>
  <dc:creator>Department for International Trade - Trade Policy Group</dc:creator>
  <cp:keywords>Macedonia</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