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Serbia,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Serbia,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114.000 €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21/07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0.00%</w:t>
            </w:r>
            <w:r>
              <w:br/>
            </w:r>
            <w:r>
              <w:t>01/07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1209 23 80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3207 40 85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4002 99 10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4407 95 91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4421 99 10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7806 00 80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8506 80 80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8518 30 95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8904 00 99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9027 80 05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091526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2204 10 93</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091527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2204 22 10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091530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2204 21 93 19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091545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0302 11 00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0304 52 00 10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0304 82 00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0304 99 21 12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0305 39 90 10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0305 59 85 61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0305 69 80 61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091546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0302 73 00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0303 25 00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0304 39 00 20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0304 51 00 10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0304 69 00 20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0304 93 90 10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0305 31 00 10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0305 52 00 10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0305 64 00 10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091592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1604 00 00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094198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0102 29 51 10</w:t>
            </w:r>
          </w:p>
        </w:tc>
        <!-- End commodity code cell //-->
        <!-- Begin Preferential Quota Duty Rate cell //-->
        <w:tc>
          <w:tcPr>
            <w:tcBorders>
              <w:top w:val="single" w:sz="12" w:space="0" w:color="000000" w:themeColor="background1" w:themeShade="00"/>
            </w:tcBorders>
          </w:tcPr>
          <w:tcPr>
            <w:vMerge w:val="restart"/>
          </w:tcPr>
          <w:p>
            <w:pPr>
              <w:pStyle w:val="NormalinTable"/>
            </w:pPr>
            <w:r>
              <w:t>2.00% + 18.600 €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0102 29 99 21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0201 10 00 92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+ 35.300 €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0201 10 00 94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0201 20 30 92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+ 28.200 €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0201 20 30 94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0201 20 50 92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+ 42.400 €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0201 20 50 94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094326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Serbia, version 1.0, dated 5 February 2019</dc:title>
  <dc:subject/>
  <dc:creator>Department for International Trade - Trade Policy Group</dc:creator>
  <cp:keywords>Serbia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