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Turkey,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Turkey,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+ 212.200 €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+ 303.400 €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+ 265.300 €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0202 30 50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+ 304.100 €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+ 119.900 €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+ 90.200 €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+ 141.700 €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+ 167.500 €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+ 167.500 €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+ 119.900 €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+ 90.200 €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+ 141.700 €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+ 167.500 €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+ 167.500 €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+ 303.400 €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+ 304.100 €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+ 303.400 €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+ 303.400 €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+ 303.400 €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+ 303.400 €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67.190 €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67.190 €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67.190 €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67.190 €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67.190 €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0708 90 00 10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0708 90 00 20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0708 90 00 90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01/12 to 29/02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18/06 to 20/07</w:t>
            </w:r>
            <w:r>
              <w:tab/>
              <w:t>0.00%</w:t>
            </w:r>
            <w:r>
              <w:br/>
            </w:r>
            <w:r>
              <w:t>21/07 to 31/07</w:t>
            </w:r>
            <w:r>
              <w:tab/>
              <w:t>Entry Price - 0.00% + Specific 100%</w:t>
            </w:r>
            <w:r>
              <w:br/>
            </w:r>
            <w:r>
              <w:t>15/11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31/05</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10/06</w:t>
            </w:r>
            <w:r>
              <w:tab/>
              <w:t>0.00%</w:t>
            </w:r>
            <w:r>
              <w:br/>
            </w:r>
            <w:r>
              <w:t>11/06 to 15/06</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170.430 €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127.430 €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166.430 €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124.430 €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145.430 €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110.340 €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112.050 €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112.050 €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127.870 €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99.180 €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152.280 €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2207 10 00 12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2207 10 00 17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2207 10 00 19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2207 20 00 12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2207 20 00 17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2207 20 00 19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416,750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0806 10 10 90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58,345 kg</w:t>
            </w:r>
          </w:p>
        </w:tc>
        <!-- End Quota Volume cell //-->
        <!-- Begin Quota Open Date cell //-->
        <w:tc>
          <w:tcPr>
            <w:tcBorders>
              <w:top w:val="single" w:sz="12" w:space="0" w:color="000000" w:themeColor="background1" w:themeShade="00"/>
            </w:tcBorders>
          </w:tcPr>
          <w:tcPr>
            <w:vMerge w:val="restart"/>
          </w:tcPr>
          <w:p>
            <w:pPr>
              <w:pStyle w:val="NormalinTable"/>
            </w:pPr>
            <w:r>
              <w:t>01/05</w:t>
            </w:r>
          </w:p>
        </w:tc>
        <!-- End Quota Open Date cell //-->
        <!-- Begin Quota Close Date cell //-->
        <w:tc>
          <w:tcPr>
            <w:tcBorders>
              <w:top w:val="single" w:sz="12" w:space="0" w:color="000000" w:themeColor="background1" w:themeShade="00"/>
            </w:tcBorders>
          </w:tcPr>
          <w:tcPr>
            <w:vMerge w:val="restart"/>
          </w:tcPr>
          <w:p>
            <w:pPr>
              <w:pStyle w:val="NormalinTable"/>
            </w:pPr>
            <w:r>
              <w:t>14/11</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1509 10 20</w:t>
            </w:r>
          </w:p>
        </w:tc>
        <!-- End commodity code cell //-->
        <!-- Begin Preferential Quota Duty Rate cell //-->
        <w:tc>
          <w:tcPr>
            <w:tcBorders>
              <w:top w:val="single" w:sz="12" w:space="0" w:color="000000" w:themeColor="background1" w:themeShade="00"/>
            </w:tcBorders>
          </w:tcPr>
          <w:tcPr>
            <w:vMerge w:val="restart"/>
          </w:tcPr>
          <w:p>
            <w:pPr>
              <w:pStyle w:val="NormalinTable"/>
            </w:pPr>
            <w:r>
              <w:t>7.50%</w:t>
            </w:r>
          </w:p>
        </w:tc>
        <!-- End Preferential Quota Duty Rate cell //-->
        <!-- Begin Quota Volume cell //-->
        <w:tc>
          <w:tcPr>
            <w:tcBorders>
              <w:top w:val="single" w:sz="12" w:space="0" w:color="000000" w:themeColor="background1" w:themeShade="00"/>
            </w:tcBorders>
          </w:tcPr>
          <w:tcPr>
            <w:vMerge w:val="restart"/>
          </w:tcPr>
          <w:p>
            <w:pPr>
              <w:pStyle w:val="NormalinTable"/>
            </w:pPr>
            <w:r>
              <w:t>16,670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1509 10 80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090208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2007 10 10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 + 1.380 €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291,725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2007 91 10</w:t>
            </w:r>
          </w:p>
        </w:tc>
        <!-- End commodity code cell //-->
        <!-- Begin Preferential Quota Duty Rate cell //-->
        <w:tc>
          <w:tcPr>
            <w:tcBorders>
              <w:top w:val="single" w:sz="4" w:space="0" w:color="666666" w:themeColor="background1" w:themeShade="A6"/>
            </w:tcBorders>
          </w:tcPr>
          <w:tcPr>
            <w:vMerge w:val="restart"/>
          </w:tcPr>
          <w:p>
            <w:pPr>
              <w:pStyle w:val="NormalinTable"/>
            </w:pPr>
            <w:r>
              <w:t>0.00% + 7.590 €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2007 91 30</w:t>
            </w:r>
          </w:p>
        </w:tc>
        <!-- End commodity code cell //-->
        <!-- Begin Preferential Quota Duty Rate cell //-->
        <w:tc>
          <w:tcPr>
            <w:tcBorders>
              <w:top w:val="single" w:sz="4" w:space="0" w:color="666666" w:themeColor="background1" w:themeShade="A6"/>
            </w:tcBorders>
          </w:tcPr>
          <w:tcPr>
            <w:vMerge w:val="restart"/>
          </w:tcPr>
          <w:p>
            <w:pPr>
              <w:pStyle w:val="NormalinTable"/>
            </w:pPr>
            <w:r>
              <w:t>0.00% + 1.380 €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2007 99 20</w:t>
            </w:r>
          </w:p>
        </w:tc>
        <!-- End commodity code cell //-->
        <!-- Begin Preferential Quota Duty Rate cell //-->
        <w:tc>
          <w:tcPr>
            <w:tcBorders>
              <w:top w:val="single" w:sz="4" w:space="0" w:color="666666" w:themeColor="background1" w:themeShade="A6"/>
            </w:tcBorders>
          </w:tcPr>
          <w:tcPr>
            <w:vMerge w:val="restart"/>
          </w:tcPr>
          <w:p>
            <w:pPr>
              <w:pStyle w:val="NormalinTable"/>
            </w:pPr>
            <w:r>
              <w:t>0.00% + 6.500 €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2007 99 31</w:t>
            </w:r>
          </w:p>
        </w:tc>
        <!-- End commodity code cell //-->
        <!-- Begin Preferential Quota Duty Rate cell //-->
        <w:tc>
          <w:tcPr>
            <w:tcBorders>
              <w:top w:val="single" w:sz="4" w:space="0" w:color="666666" w:themeColor="background1" w:themeShade="A6"/>
            </w:tcBorders>
          </w:tcPr>
          <w:tcPr>
            <w:vMerge w:val="restart"/>
          </w:tcPr>
          <w:p>
            <w:pPr>
              <w:pStyle w:val="NormalinTable"/>
            </w:pPr>
            <w:r>
              <w:t>0.00% + 7.590 €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w:t>
            </w:r>
          </w:p>
        </w:tc>
        <!-- End commodity code cell //-->
        <!-- Begin Preferential Quota Duty Rate cell //-->
        <w:tc>
          <w:tcPr>
            <w:tcBorders>
              <w:top w:val="single" w:sz="4" w:space="0" w:color="666666" w:themeColor="background1" w:themeShade="A6"/>
            </w:tcBorders>
          </w:tcPr>
          <w:tcPr>
            <w:vMerge w:val="restart"/>
          </w:tcPr>
          <w:p>
            <w:pPr>
              <w:pStyle w:val="NormalinTable"/>
            </w:pPr>
            <w:r>
              <w:t>0.00% + 1.380 €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090211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0703 10 11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333,400 kg</w:t>
            </w:r>
          </w:p>
        </w:tc>
        <!-- End Quota Volume cell //-->
        <!-- Begin Quota Open Date cell //-->
        <w:tc>
          <w:tcPr>
            <w:tcBorders>
              <w:top w:val="single" w:sz="12" w:space="0" w:color="000000" w:themeColor="background1" w:themeShade="00"/>
            </w:tcBorders>
          </w:tcPr>
          <w:tcPr>
            <w:vMerge w:val="restart"/>
          </w:tcPr>
          <w:p>
            <w:pPr>
              <w:pStyle w:val="NormalinTable"/>
            </w:pPr>
            <w:r>
              <w:t>16/05</w:t>
            </w:r>
          </w:p>
        </w:tc>
        <!-- End Quota Open Date cell //-->
        <!-- Begin Quota Close Date cell //-->
        <w:tc>
          <w:tcPr>
            <w:tcBorders>
              <w:top w:val="single" w:sz="12" w:space="0" w:color="000000" w:themeColor="background1" w:themeShade="00"/>
            </w:tcBorders>
          </w:tcPr>
          <w:tcPr>
            <w:vMerge w:val="restart"/>
          </w:tcPr>
          <w:p>
            <w:pPr>
              <w:pStyle w:val="NormalinTable"/>
            </w:pPr>
            <w:r>
              <w:t>14/02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0703 10 19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090212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2008 30 19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 + 4.200 €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350,070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2008 50 92</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2008 60 19</w:t>
            </w:r>
          </w:p>
        </w:tc>
        <!-- End commodity code cell //-->
        <!-- Begin Preferential Quota Duty Rate cell //-->
        <w:tc>
          <w:tcPr>
            <w:tcBorders>
              <w:top w:val="single" w:sz="4" w:space="0" w:color="666666" w:themeColor="background1" w:themeShade="A6"/>
            </w:tcBorders>
          </w:tcPr>
          <w:tcPr>
            <w:vMerge w:val="restart"/>
          </w:tcPr>
          <w:p>
            <w:pPr>
              <w:pStyle w:val="NormalinTable"/>
            </w:pPr>
            <w:r>
              <w:t>0.00% + 4.200 €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2008 70 19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2008 70 51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2008 80 19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090213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166,700 kg</w:t>
            </w:r>
          </w:p>
        </w:tc>
        <!-- End Quota Volume cell //-->
        <!-- Begin Quota Open Date cell //-->
        <w:tc>
          <w:tcPr>
            <w:tcBorders>
              <w:top w:val="single" w:sz="12" w:space="0" w:color="000000" w:themeColor="background1" w:themeShade="00"/>
            </w:tcBorders>
          </w:tcPr>
          <w:tcPr>
            <w:vMerge w:val="restart"/>
          </w:tcPr>
          <w:p>
            <w:pPr>
              <w:pStyle w:val="NormalinTable"/>
            </w:pPr>
            <w:r>
              <w:t>01/05</w:t>
            </w:r>
          </w:p>
        </w:tc>
        <!-- End Quota Open Date cell //-->
        <!-- Begin Quota Close Date cell //-->
        <w:tc>
          <w:tcPr>
            <w:tcBorders>
              <w:top w:val="single" w:sz="12" w:space="0" w:color="000000" w:themeColor="background1" w:themeShade="00"/>
            </w:tcBorders>
          </w:tcPr>
          <w:tcPr>
            <w:vMerge w:val="restart"/>
          </w:tcPr>
          <w:p>
            <w:pPr>
              <w:pStyle w:val="NormalinTable"/>
            </w:pPr>
            <w:r>
              <w:t>14/01</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090214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2009 11 11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 + 6.790 €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566,780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2009 61 90</w:t>
            </w:r>
          </w:p>
        </w:tc>
        <!-- End commodity code cell //-->
        <!-- Begin Preferential Quota Duty Rate cell //-->
        <w:tc>
          <w:tcPr>
            <w:tcBorders>
              <w:top w:val="single" w:sz="4" w:space="0" w:color="666666" w:themeColor="background1" w:themeShade="A6"/>
            </w:tcBorders>
          </w:tcPr>
          <w:tcPr>
            <w:vMerge w:val="restart"/>
          </w:tcPr>
          <w:p>
            <w:pPr>
              <w:pStyle w:val="NormalinTable"/>
            </w:pPr>
            <w:r>
              <w:t>0.00% + 8.910 € / hl</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2009 69 11</w:t>
            </w:r>
          </w:p>
        </w:tc>
        <!-- End commodity code cell //-->
        <!-- Begin Preferential Quota Duty Rate cell //-->
        <w:tc>
          <w:tcPr>
            <w:tcBorders>
              <w:top w:val="single" w:sz="4" w:space="0" w:color="666666" w:themeColor="background1" w:themeShade="A6"/>
            </w:tcBorders>
          </w:tcPr>
          <w:tcPr>
            <w:vMerge w:val="restart"/>
          </w:tcPr>
          <w:p>
            <w:pPr>
              <w:pStyle w:val="NormalinTable"/>
            </w:pPr>
            <w:r>
              <w:t>0.00% + 39.930 € / hl + 6.790 €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2009 69 79</w:t>
            </w:r>
          </w:p>
        </w:tc>
        <!-- End commodity code cell //-->
        <!-- Begin Preferential Quota Duty Rate cell //-->
        <w:tc>
          <w:tcPr>
            <w:tcBorders>
              <w:top w:val="single" w:sz="4" w:space="0" w:color="666666" w:themeColor="background1" w:themeShade="A6"/>
            </w:tcBorders>
          </w:tcPr>
          <w:tcPr>
            <w:vMerge w:val="restart"/>
          </w:tcPr>
          <w:p>
            <w:pPr>
              <w:pStyle w:val="NormalinTable"/>
            </w:pPr>
            <w:r>
              <w:t>0.00% + 8.910 € / hl + 6.790 €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2009 69 90</w:t>
            </w:r>
          </w:p>
        </w:tc>
        <!-- End commodity code cell //-->
        <!-- Begin Preferential Quota Duty Rate cell //-->
        <w:tc>
          <w:tcPr>
            <w:tcBorders>
              <w:top w:val="single" w:sz="4" w:space="0" w:color="666666" w:themeColor="background1" w:themeShade="A6"/>
            </w:tcBorders>
          </w:tcPr>
          <w:tcPr>
            <w:vMerge w:val="restart"/>
          </w:tcPr>
          <w:p>
            <w:pPr>
              <w:pStyle w:val="NormalinTable"/>
            </w:pPr>
            <w:r>
              <w:t>0.00% + 8.910 € / hl</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2009 81 11</w:t>
            </w:r>
          </w:p>
        </w:tc>
        <!-- End commodity code cell //-->
        <!-- Begin Preferential Quota Duty Rate cell //-->
        <w:tc>
          <w:tcPr>
            <w:tcBorders>
              <w:top w:val="single" w:sz="4" w:space="0" w:color="666666" w:themeColor="background1" w:themeShade="A6"/>
            </w:tcBorders>
          </w:tcPr>
          <w:tcPr>
            <w:vMerge w:val="restart"/>
          </w:tcPr>
          <w:p>
            <w:pPr>
              <w:pStyle w:val="NormalinTable"/>
            </w:pPr>
            <w:r>
              <w:t>0.00% + 6.790 €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2009 89 34</w:t>
            </w:r>
          </w:p>
        </w:tc>
        <!-- End commodity code cell //-->
        <!-- Begin Preferential Quota Duty Rate cell //-->
        <w:tc>
          <w:tcPr>
            <w:tcBorders>
              <w:top w:val="single" w:sz="4" w:space="0" w:color="666666" w:themeColor="background1" w:themeShade="A6"/>
            </w:tcBorders>
          </w:tcPr>
          <w:tcPr>
            <w:vMerge w:val="restart"/>
          </w:tcPr>
          <w:p>
            <w:pPr>
              <w:pStyle w:val="NormalinTable"/>
            </w:pPr>
            <w:r>
              <w:t>0.00% + 4.250 €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2009 89 35</w:t>
            </w:r>
          </w:p>
        </w:tc>
        <!-- End commodity code cell //-->
        <!-- Begin Preferential Quota Duty Rate cell //-->
        <w:tc>
          <w:tcPr>
            <w:tcBorders>
              <w:top w:val="single" w:sz="4" w:space="0" w:color="666666" w:themeColor="background1" w:themeShade="A6"/>
            </w:tcBorders>
          </w:tcPr>
          <w:tcPr>
            <w:vMerge w:val="restart"/>
          </w:tcPr>
          <w:p>
            <w:pPr>
              <w:pStyle w:val="NormalinTable"/>
            </w:pPr>
            <w:r>
              <w:t>0.00% + 6.790 €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2009 89 85</w:t>
            </w:r>
          </w:p>
        </w:tc>
        <!-- End commodity code cell //-->
        <!-- Begin Preferential Quota Duty Rate cell //-->
        <w:tc>
          <w:tcPr>
            <w:tcBorders>
              <w:top w:val="single" w:sz="4" w:space="0" w:color="666666" w:themeColor="background1" w:themeShade="A6"/>
            </w:tcBorders>
          </w:tcPr>
          <w:tcPr>
            <w:vMerge w:val="restart"/>
          </w:tcPr>
          <w:p>
            <w:pPr>
              <w:pStyle w:val="NormalinTable"/>
            </w:pPr>
            <w:r>
              <w:t>0.00% + 4.250 €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2009 89 86</w:t>
            </w:r>
          </w:p>
        </w:tc>
        <!-- End commodity code cell //-->
        <!-- Begin Preferential Quota Duty Rate cell //-->
        <w:tc>
          <w:tcPr>
            <w:tcBorders>
              <w:top w:val="single" w:sz="4" w:space="0" w:color="666666" w:themeColor="background1" w:themeShade="A6"/>
            </w:tcBorders>
          </w:tcPr>
          <w:tcPr>
            <w:vMerge w:val="restart"/>
          </w:tcPr>
          <w:p>
            <w:pPr>
              <w:pStyle w:val="NormalinTable"/>
            </w:pPr>
            <w:r>
              <w:t>0.00% + 6.790 €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2009 90 92</w:t>
            </w:r>
          </w:p>
        </w:tc>
        <!-- End commodity code cell //-->
        <!-- Begin Preferential Quota Duty Rate cell //-->
        <w:tc>
          <w:tcPr>
            <w:tcBorders>
              <w:top w:val="single" w:sz="4" w:space="0" w:color="666666" w:themeColor="background1" w:themeShade="A6"/>
            </w:tcBorders>
          </w:tcPr>
          <w:tcPr>
            <w:vMerge w:val="restart"/>
          </w:tcPr>
          <w:p>
            <w:pPr>
              <w:pStyle w:val="NormalinTable"/>
            </w:pPr>
            <w:r>
              <w:t>0.00% + 4.250 €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2009 90 94</w:t>
            </w:r>
          </w:p>
        </w:tc>
        <!-- End commodity code cell //-->
        <!-- Begin Preferential Quota Duty Rate cell //-->
        <w:tc>
          <w:tcPr>
            <w:tcBorders>
              <w:top w:val="single" w:sz="4" w:space="0" w:color="666666" w:themeColor="background1" w:themeShade="A6"/>
            </w:tcBorders>
          </w:tcPr>
          <w:tcPr>
            <w:vMerge w:val="restart"/>
          </w:tcPr>
          <w:p>
            <w:pPr>
              <w:pStyle w:val="NormalinTable"/>
            </w:pPr>
            <w:r>
              <w:t>0.00% + 6.790 €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090215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0709 93 10</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83,350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30/11</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090219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0811 10 11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16,670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0811 20 11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0811 90 19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090221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1,483,630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090223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2007 91 30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16,670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090225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2007 99 39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16,670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090227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0204 10 00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33,340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090243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0406 90 29</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383,410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0406 90 86 20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0406 90 89 10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0406 90 92 10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090244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0207 25 10</w:t>
            </w:r>
          </w:p>
        </w:tc>
        <!-- End commodity code cell //-->
        <!-- Begin Preferential Quota Duty Rate cell //-->
        <w:tc>
          <w:tcPr>
            <w:tcBorders>
              <w:top w:val="single" w:sz="12" w:space="0" w:color="000000" w:themeColor="background1" w:themeShade="00"/>
            </w:tcBorders>
          </w:tcPr>
          <w:tcPr>
            <w:vMerge w:val="restart"/>
          </w:tcPr>
          <w:p>
            <w:pPr>
              <w:pStyle w:val="NormalinTable"/>
            </w:pPr>
            <w:r>
              <w:t>170.000 €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166,700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0207 25 90</w:t>
            </w:r>
          </w:p>
        </w:tc>
        <!-- End commodity code cell //-->
        <!-- Begin Preferential Quota Duty Rate cell //-->
        <w:tc>
          <w:tcPr>
            <w:tcBorders>
              <w:top w:val="single" w:sz="4" w:space="0" w:color="666666" w:themeColor="background1" w:themeShade="A6"/>
            </w:tcBorders>
          </w:tcPr>
          <w:tcPr>
            <w:vMerge w:val="restart"/>
          </w:tcPr>
          <w:p>
            <w:pPr>
              <w:pStyle w:val="NormalinTable"/>
            </w:pPr>
            <w:r>
              <w:t>186.000 € / tonne</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0207 27 30</w:t>
            </w:r>
          </w:p>
        </w:tc>
        <!-- End commodity code cell //-->
        <!-- Begin Preferential Quota Duty Rate cell //-->
        <w:tc>
          <w:tcPr>
            <w:tcBorders>
              <w:top w:val="single" w:sz="4" w:space="0" w:color="666666" w:themeColor="background1" w:themeShade="A6"/>
            </w:tcBorders>
          </w:tcPr>
          <w:tcPr>
            <w:vMerge w:val="restart"/>
          </w:tcPr>
          <w:p>
            <w:pPr>
              <w:pStyle w:val="NormalinTable"/>
            </w:pPr>
            <w:r>
              <w:t>134.000 € / tonne</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0207 27 40</w:t>
            </w:r>
          </w:p>
        </w:tc>
        <!-- End commodity code cell //-->
        <!-- Begin Preferential Quota Duty Rate cell //-->
        <w:tc>
          <w:tcPr>
            <w:tcBorders>
              <w:top w:val="single" w:sz="4" w:space="0" w:color="666666" w:themeColor="background1" w:themeShade="A6"/>
            </w:tcBorders>
          </w:tcPr>
          <w:tcPr>
            <w:vMerge w:val="restart"/>
          </w:tcPr>
          <w:p>
            <w:pPr>
              <w:pStyle w:val="NormalinTable"/>
            </w:pPr>
            <w:r>
              <w:t>93.000 € / tonne</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0207 27 50</w:t>
            </w:r>
          </w:p>
        </w:tc>
        <!-- End commodity code cell //-->
        <!-- Begin Preferential Quota Duty Rate cell //-->
        <w:tc>
          <w:tcPr>
            <w:tcBorders>
              <w:top w:val="single" w:sz="4" w:space="0" w:color="666666" w:themeColor="background1" w:themeShade="A6"/>
            </w:tcBorders>
          </w:tcPr>
          <w:tcPr>
            <w:vMerge w:val="restart"/>
          </w:tcPr>
          <w:p>
            <w:pPr>
              <w:pStyle w:val="NormalinTable"/>
            </w:pPr>
            <w:r>
              <w:t>339.000 € / tonne</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0207 27 60</w:t>
            </w:r>
          </w:p>
        </w:tc>
        <!-- End commodity code cell //-->
        <!-- Begin Preferential Quota Duty Rate cell //-->
        <w:tc>
          <w:tcPr>
            <w:tcBorders>
              <w:top w:val="single" w:sz="4" w:space="0" w:color="666666" w:themeColor="background1" w:themeShade="A6"/>
            </w:tcBorders>
          </w:tcPr>
          <w:tcPr>
            <w:vMerge w:val="restart"/>
          </w:tcPr>
          <w:p>
            <w:pPr>
              <w:pStyle w:val="NormalinTable"/>
            </w:pPr>
            <w:r>
              <w:t>127.000 € / tonne</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0207 27 70</w:t>
            </w:r>
          </w:p>
        </w:tc>
        <!-- End commodity code cell //-->
        <!-- Begin Preferential Quota Duty Rate cell //-->
        <w:tc>
          <w:tcPr>
            <w:tcBorders>
              <w:top w:val="single" w:sz="4" w:space="0" w:color="666666" w:themeColor="background1" w:themeShade="A6"/>
            </w:tcBorders>
          </w:tcPr>
          <w:tcPr>
            <w:vMerge w:val="restart"/>
          </w:tcPr>
          <w:p>
            <w:pPr>
              <w:pStyle w:val="NormalinTable"/>
            </w:pPr>
            <w:r>
              <w:t>230.000 € / tonne</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092131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0204 23 00 11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33,340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0204 23 00 91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0204 50 39 10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0204 50 79 10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092132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0204 23 00 19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33,340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0204 23 00 99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0204 43 90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0204 50 39 90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0204 50 79 90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Turkey, version 1.0, dated 5 February 2019</dc:title>
  <dc:subject/>
  <dc:creator>Department for International Trade - Trade Policy Group</dc:creator>
  <cp:keywords>Turkey</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