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Ukraine,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Ukraine,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1.000 € / 100 kg</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0813 40 95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1101 00 11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2707 99 99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2710 19 48 90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2710 19 68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2804 80 00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2805 40 10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2825 90 85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2829 90 80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2836 99 00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2844 30 51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2903 89 80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2909 49 80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2916 39 90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2922 49 85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2924 29 70 87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2924 29 70 99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2932 20 90 77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2932 20 90 90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3102 50 00 89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3105 90 80 90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3206 49 70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3207 40 85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3824 99 57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3907 99 80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3909 50 90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3920 10 89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3926 90 97 77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3926 90 97 90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4107 12 91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4107 12 99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4202 12 50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4202 12 91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4202 12 99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4202 32 10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4202 92 15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4202 92 98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4203 29 10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4407 26 50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4412 31 10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4412 31 90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6402 99 98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6403 59 99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6403 91 05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6403 91 13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6403 91 16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6403 91 18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6403 99 98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6802 99 90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6912 00 89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7019 90 00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7020 00 80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7801 99 90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7806 00 80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8106 00 90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8112 99 70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8113 00 90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8215 10 20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8215 10 30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8215 99 10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8215 99 90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8419 90 85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8421 99 00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8449 00 00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8459 00 00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8468 00 00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8479 90 00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8487 00 00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8506 80 80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8518 30 95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1.10%</w:t>
            </w:r>
            <w:r>
              <w:br/>
            </w:r>
            <w:r>
              <w:t>01/01 to 30/06</w:t>
            </w:r>
            <w:r>
              <w:tab/>
              <w:t>0.70%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1.10%</w:t>
            </w:r>
            <w:r>
              <w:br/>
            </w:r>
            <w:r>
              <w:t>01/01 to 30/06</w:t>
            </w:r>
            <w:r>
              <w:tab/>
              <w:t>0.70%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1.20%</w:t>
            </w:r>
            <w:r>
              <w:br/>
            </w:r>
            <w:r>
              <w:t>01/01 to 30/06</w:t>
            </w:r>
            <w:r>
              <w:tab/>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8519 89 00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8522 90 80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8523 29 90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8525 80 99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1.20%</w:t>
            </w:r>
            <w:r>
              <w:br/>
            </w:r>
            <w:r>
              <w:t>01/01 to 30/06</w:t>
            </w:r>
            <w:r>
              <w:tab/>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1.80%</w:t>
            </w:r>
            <w:r>
              <w:br/>
            </w:r>
            <w:r>
              <w:t>01/01 to 30/06</w:t>
            </w:r>
            <w:r>
              <w:tab/>
              <w:t>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2.10%</w:t>
            </w:r>
            <w:r>
              <w:br/>
            </w:r>
            <w:r>
              <w:t>01/01 to 30/06</w:t>
            </w:r>
            <w:r>
              <w:tab/>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8527 13 99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1.20%</w:t>
            </w:r>
            <w:r>
              <w:br/>
            </w:r>
            <w:r>
              <w:t>01/01 to 30/06</w:t>
            </w:r>
            <w:r>
              <w:tab/>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8527 21 52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1.20%</w:t>
            </w:r>
            <w:r>
              <w:br/>
            </w:r>
            <w:r>
              <w:t>01/01 to 30/06</w:t>
            </w:r>
            <w:r>
              <w:tab/>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1.20%</w:t>
            </w:r>
            <w:r>
              <w:br/>
            </w:r>
            <w:r>
              <w:t>01/01 to 30/06</w:t>
            </w:r>
            <w:r>
              <w:tab/>
              <w:t>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1.10%</w:t>
            </w:r>
            <w:r>
              <w:br/>
            </w:r>
            <w:r>
              <w:t>01/01 to 30/06</w:t>
            </w:r>
            <w:r>
              <w:tab/>
              <w:t>0.70%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1.10%</w:t>
            </w:r>
            <w:r>
              <w:br/>
            </w:r>
            <w:r>
              <w:t>01/01 to 30/06</w:t>
            </w:r>
            <w:r>
              <w:tab/>
              <w:t>0.70%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2.10%</w:t>
            </w:r>
            <w:r>
              <w:br/>
            </w:r>
            <w:r>
              <w:t>01/01 to 30/06</w:t>
            </w:r>
            <w:r>
              <w:tab/>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8528 69 80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8528 72 80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8528 73 00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8529 90 97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8531 80 40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8536 50 80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8536 90 95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8539 00 00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8540 99 00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8544 60 00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8548 90 90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8701 95 90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8703 10 18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8704 23 99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8704 90 00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8712 00 70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8904 00 99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8906 90 99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0.80%</w:t>
            </w:r>
            <w:r>
              <w:br/>
            </w:r>
            <w:r>
              <w:t>01/01 to 30/06</w:t>
            </w:r>
            <w:r>
              <w:tab/>
              <w:t>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0.80%</w:t>
            </w:r>
            <w:r>
              <w:br/>
            </w:r>
            <w:r>
              <w:t>01/01 to 30/06</w:t>
            </w:r>
            <w:r>
              <w:tab/>
              <w:t>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0.80%</w:t>
            </w:r>
            <w:r>
              <w:br/>
            </w:r>
            <w:r>
              <w:t>01/01 to 30/06</w:t>
            </w:r>
            <w:r>
              <w:tab/>
              <w:t>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0.80%</w:t>
            </w:r>
            <w:r>
              <w:br/>
            </w:r>
            <w:r>
              <w:t>01/01 to 30/06</w:t>
            </w:r>
            <w:r>
              <w:tab/>
              <w:t>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31/12</w:t>
            </w:r>
            <w:r>
              <w:tab/>
              <w:t>0.80%</w:t>
            </w:r>
            <w:r>
              <w:br/>
            </w:r>
            <w:r>
              <w:t>01/01 to 30/06</w:t>
            </w:r>
            <w:r>
              <w:tab/>
              <w:t>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9013 90 05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9017 90 00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9025 11 80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9027 80 05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9027 90 80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9030 89 90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9031 49 10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9305 20 00 90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9306 29 00 10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9306 29 00 90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9306 90 90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9503 00 95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9506 70 90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9506 99 90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9614 00 90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9619 00 50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9620 00 91 90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0203 11 10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0203 19 13</w:t>
            </w:r>
          </w:p>
        </w:tc>
        <!-- End commodity code cell //-->
        <!-- Begin Preferential Quota Duty Rate cell //-->
        <w:tc>
          <w:tcPr>
            <w:tcBorders>
              <w:top w:val="single" w:sz="4" w:space="0" w:color="666666" w:themeColor="background1" w:themeShade="A6"/>
            </w:tcBorders>
          </w:tcPr>
          <w:tcPr>
            <w:vMerge w:val="restart"/>
          </w:tcPr>
          <w:p>
            <w:pPr>
              <w:pStyle w:val="NormalinTable"/>
            </w:pPr>
            <w:r>
              <w:t>0.000 €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0203 19 15</w:t>
            </w:r>
          </w:p>
        </w:tc>
        <!-- End commodity code cell //-->
        <!-- Begin Preferential Quota Duty Rate cell //-->
        <w:tc>
          <w:tcPr>
            <w:tcBorders>
              <w:top w:val="single" w:sz="4" w:space="0" w:color="666666" w:themeColor="background1" w:themeShade="A6"/>
            </w:tcBorders>
          </w:tcPr>
          <w:tcPr>
            <w:vMerge w:val="restart"/>
          </w:tcPr>
          <w:p>
            <w:pPr>
              <w:pStyle w:val="NormalinTable"/>
            </w:pPr>
            <w:r>
              <w:t>0.000 € / tonne</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0203 11 10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0207 11 30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0207 41 30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0207 41 80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0207 52 90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0207 60 05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0207 60 21 10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0210 99 39 10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1602 31 00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1602 32 00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1602 39 21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0207 12 00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0407 21 00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0407 29 10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0407 90 10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0408 11 80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0408 19 81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0408 19 89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0408 91 80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0408 99 80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3502 11 90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3502 19 90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3502 20 91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3502 20 99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0407 21 00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0407 29 10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0407 90 10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1001 99 00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1101 00 15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1101 00 90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1102 90 90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1103 20 60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1005 90 00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1102 20 00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1103 13 00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1103 20 40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094279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1003 90 00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1102 90 10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1103 20 25 90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094306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1001 99 00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1101 00 15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1101 00 90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1102 90 90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1103 20 60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094307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1003 90 00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1102 90 10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1103 20 25 90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094308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1005 90 00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tonne</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1102 20 00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1103 13 00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1103 20 40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094600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0401 00 00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0402 91 00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0402 99 00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0403 90 63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0403 90 69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094601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0402 21 00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0402 29 00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0404 90 00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094602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0405 20 90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0405 90 00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0204 22 50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0204 22 90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0204 42 30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0204 42 50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0204 42 90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0204 43 90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0409 00 00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1702 20 10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1702 30 00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2106 90 30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1103 19 20 10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1103 19 90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1103 20 90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1104 19 50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1104 19 61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1104 19 69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1104 29 04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1104 29 05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1104 29 89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1107 00 00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1109 00 00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096709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1108 11 00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1108 12 00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1108 13 00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3505 10 10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3505 10 90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3505 20 30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3505 20 50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3505 20 90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2302 10 00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2302 40 10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2303 10 11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0711 51 00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2009 61 90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2009 71 00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2009 79 00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0403 10 51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0403 10 99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0403 90 73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0403 90 99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0405 20 10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0405 20 30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0710 40 00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0711 90 30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2001 90 30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2004 90 10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2005 80 00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096719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1702 50 00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1901 90 99 36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096720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1903 00 00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1904 30 00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096721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1806 20 70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2106 10 80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2202 99 99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096722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2106 90 98</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096723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2207 10 00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2207 20 00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096724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2402 10 00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2402 20 90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096725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2905 43 00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2905 44 00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3824 60 00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096726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3809 10 10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3809 10 30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3809 10 50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3809 10 90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096750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0409 00 00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30/09</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096751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1103 19 20 10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30/09</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1103 19 90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1103 20 90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1104 19 50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1104 19 61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1104 19 69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1104 29 04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1104 29 05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1104 29 17 90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1104 29 30 90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1104 29 89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1104 30 00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096752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30/09</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096753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2009 61 90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30/09</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2009 69 90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096754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1004 00 00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01/10</w:t>
            </w:r>
          </w:p>
        </w:tc>
        <!-- End Quota Open Date cell //-->
        <!-- Begin Quota Close Date cell //-->
        <w:tc>
          <w:tcPr>
            <w:tcBorders>
              <w:top w:val="single" w:sz="12" w:space="0" w:color="000000" w:themeColor="background1" w:themeShade="00"/>
            </w:tcBorders>
          </w:tcPr>
          <w:tcPr>
            <w:vMerge w:val="restart"/>
          </w:tcPr>
          <w:p>
            <w:pPr>
              <w:pStyle w:val="NormalinTable"/>
            </w:pPr>
            <w:r>
              <w:t>30/09</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Ukraine, version 1.0, dated 5 February 2019</dc:title>
  <dc:subject/>
  <dc:creator>Department for International Trade - Trade Policy Group</dc:creator>
  <cp:keywords>Ukraine</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