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LEATHER; SADDLERY AND HARNESS; TRAVEL GOODS, HANDBAGS AND SIMILAR CONTAINERS; ARTICLES OF ANIMAL GUT (OTHER THAN SILKWORM GUT)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Saddlery and harness for any animal (including traces, leads, knee pads, muzzles, saddle-cloths, saddlebags, dog coats and the like), of any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Trunks, suitcases, vanity cases, executive-cases, briefcases, school satchels and similar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Executive-cases, briefcases, school satchels and similar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plastics or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Executive-cases, briefcases, school satchels and similar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moulded plastic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 including vulcanised fibre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Executive-cases, briefcases, school satchels and similar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Handbags, whether or not with shoulder strap, including those without handle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 kind normally carried in the pocket or in the handbag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Travelling-bags, toilet bags, rucksacks and sports bags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Travelling-bags, toilet bags, rucksacks and sports bags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Musical instrument cases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Travelling-bags, toilet bags, rucksacks and sports bags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Gloves, mittens and mitts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Specially designed for use in sports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Protective for all trades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Belts and bandoliers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clothing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in machinery or mechanical appliances or for other technical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Conveyor or transmission belts or belting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gut (other than silkworm gut), of goldbeater's skin, of bladders or of tendons</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