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TEXTILE ARTICLES; SETS; WORN CLOTHING AND WORN TEXTILE ARTICLES; RAGS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OTHER MADE-UP TEXTILE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Blankets and travelling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blankets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blankets and travelling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Bedlinen, table linen, toilet linen and kitchen 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Bedlinen,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linen,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table 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linen and kitchen linen, of terry towelling or similar terry fabrics,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Curtains (including drapes) and interior blinds; curtain or bed valances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furnishing articles, excluding those of heading 9404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 nets specified in subheading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Sacks and bags, of a kind used for the packing of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jute or of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intermediate bulk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or polypropylene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polyethylene or polypropylene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Tarpaulins, awnings and sunblinds; tents; sails for boats, sailboards or landcraft; camping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Tarpaulins, awnings and sunblinds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mattresses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articles, including dress patterns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Floorcloths, dishcloths, dusters and similar cleaning cloths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Life jackets and lifebelts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Single-use drapes made up of fabrics of heading 5603, of a kind used during surgical procedures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Sets consisting of woven fabric and yarn, whether or not with accessories, for making up into rugs, tapestries, embroidered tablecloths or serviettes, or similar textile articles, put up in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WORN CLOTHING AND WORN TEXTILE ARTICLES; RAGS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Worn clothing and other worn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Used or new rags, scrap twine, cordage, rope and cables and worn-out articles of twine, cordage, rope or cables,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