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 piling of iron or steel, whether or not drilled, punched or made from assembled elements; welded angles, shapes and sections,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Sheet piling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Current-conducting, with parts of non-ferrous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Vignole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36kg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weight per metre of less than 36kg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Grooved rails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Switch blades, crossing frogs, point rods and other crossing pieces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Fish-plates and sole plates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Tubes and pipes of a kind used in pressure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Tubes, pipes and hollow profiles, seamless, of iron (other than cast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tubing and drill pipe,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 pipe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drill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Threaded or threadable tubes (gas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an external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 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circular cross-section,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Straight and of uniform wall thickness, of alloy steel containing by weight not less than 0.9% but not more than 1.15% of carbon, not less than 0.5% but not more than 2% of chromium and, if present, not more than 0.5% of molybdenum,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straight and of uniform wall thickness, for use solely in the manufacture of tubes and pipes with other cross-sections and wall-thicknesses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straight and of uniform wall thickness, of alloy steel containing by weight not less than 0.9% but not more than 1.15% of carbon, not less than 0.5% but not more than 2% of chromium and, if present, not more than 0.5% of molybdenum,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0.5 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an external diameter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and pipes (for example, welded, riveted or similarly closed), having circular cross-sections, the external diameter of which exceeds 406.4 mm,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submerged arc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tubes, pipes and hollow profiles (for example, open seam or welded, riveted or similarly closed),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Line pipe of a kind used for oil or gas pipelines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Longitudinally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Spirally welded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Casing and tubing of a kind used in drilling for oil or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Welded,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iron or non-alloy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 with a wall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 or threadable tubes (gas pipe)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an external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168.3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168.3 mm but not exceeding 406.4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Cold-drawn or cold-rolled (cold-reduced)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circular cross-section, of other alloy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Precision tubes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welded, of non-circular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square or rectangular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not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wall thickness exceeding 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non-circular cross-section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Tube or pipe fittings (for example, couplings, elbows, sleeves),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non-malleable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in pressure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Flanges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Threaded elbows, bends and 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Sleeves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Butt welding fittings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not exceeding 609.6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greatest external diameter exceeding 609.6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Elbows and bends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Threaded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Bridges and bridge-sections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Towers and lattice masts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windows and their frames and thresholds for doors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Equipment for scaffolding, shuttering, propping or pit-propping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Solely or principally of sheet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Panels comprising two walls of profiled (ribbed) sheet with an insulating core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Reservoirs, tanks, vats and similar containers for any material (other than compressed or liquefied gas), of iron or steel, of a capacity exceeding 300 l,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gases (other than compressed or liquefied gas)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liquids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Lined or heat-insulated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capacity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100 000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solids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Tanks, casks, drums, cans, boxes and similar containers, for any material (other than compressed or liquefied gas), of iron or steel, of a capacity not exceeding 300 l, whether or not lined or heat-insulated, but not fitted with mechanical or thermal equipment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50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capacity of less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Cans which are to be closed by soldering or crimping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food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Cans of a kind used for preserving drink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a wall thickness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0.5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less than 0.5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wall thickness of 0.5 mm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Containers for compressed or liquefied gas,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Seamless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 pressure of 165 bar or more, of a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20 l or more but not more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More than 50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a capacity 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Less than 1 000 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1 000 l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Stranded wire, ropes, cables, plaited bands, slings and the like, of iron or steel, not electrically insulated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Stranded wire, ropes and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maximum cross-sectional dimension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Plated or coated with copper-zinc alloys (brass)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Stranded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Ropes and cables (including locked coil ropes)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coated or only plated or coated with zinc, with a maximum cross-sectional dimension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3 mm but not 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12 mm but not exceeding 24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24 mm but not exceeding 48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Barbed wire of iron or steel; twisted hoop or single flat wire, barbed or not, and loosely twisted double wire, of a kind used for fencing,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Cloth (including endless bands), grill, netting and fencing, of iron or steel wire; expanded metal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Woven cloth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Endless bands for machinery,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woven cloth,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Grill, netting and fencing, welded at the intersection, of wire with a maximum cross-sectional dimension of 3 mm or more and having a mesh size of 100 cm</w:t>
            </w:r>
            <w:r>
              <w:rPr>
                <w:vertAlign w:val="superscript"/>
              </w:rPr>
              <w:t xml:space="preserve">2</w:t>
            </w:r>
            <w:r>
              <w:t xml:space="preserve">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ribbed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grill, netting and fencing, welded at the intersection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 grill, netting and fencing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zinc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Coated with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Expanded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Chain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Articulated link chain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for cycles and motorcycles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Skid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chain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Stud-link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welded link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Anchors, grapnels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Nails, tacks, drawing pins, corrugated nails, staples (other than those of heading 8305) and similar articles, of iron or steel, whether or not with heads of other material, but excluding such articles with heads of copper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Cold-pressed from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Nails in strips or coils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Screws, bolts, nuts, coach screws, screw hooks, rivets, cotters, cotter pins, washers (including spring washers) and similar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Coach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Screw hooks and screw 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Self-tapping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Spaced-thread screws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screws and bolts, whether or not with their nuts or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fixing railway track construction material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Without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a tensile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800 MPa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800 MPa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Slotted or cross-recessed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Hexagonal-socket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Hexagonal heads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tensile strength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less than 800 MPa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800 MPa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Blind rivet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Self-locking nuts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an inside diameter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12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Non-threaded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Spring washers and other lock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washers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Rivets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Cotters and cotter pins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needles, knitting needles, bodkins, crochet hooks, embroidery stilettos and similar articles, for use in the hand, of iron or steel; safety pins and other pins of iron or steel,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pins and other pins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darning or embroidery needles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Springs and leaves for springs,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Leaf-springs and leaves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Laminated springs and leaves therefor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Helical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compression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Coil tension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spiral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Discs springs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Stoves, ranges, grates, cookers (including those with subsidiary boilers for central heating), barbecues, braziers, gas rings, plate warmers and similar non-electric domestic appliances,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Cooking appliances and plate warmers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oven, including separate ovens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gas fuel or for both gas and other fuels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liquid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appliances for solid fuel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Radiators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Air heaters and not-air distributors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 kitchen or other household articles and parts thereof, of iron or steel; iron or steel wool; pot scourers and scouring or polishing pads, gloves and the like,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or steel wool; pot scourers and scouring or polishing pads, gloves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not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(other than cast iron) or steel,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Ironing boards, including sleeve boards, whether or not free standing, and legs, tops and iron rests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Sanitary ware and parts thereof,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Sinks and washbasins, of stainless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Baths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whether or not enamelled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parts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Sanitary ware (excluding parts thereof), 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cast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non-malleable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Floor drains, roof drains, cleanouts and covers for cleanouts, subject to standard EN 1253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Step irons, lifting keys, and fire hydrants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Lamellar graphite cast iron (grey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malleable cast iron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Collars, flanges and other devices for fixing, jointing, clamping or spacing,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Devices for cargo stowage and clamping freight, for use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Balls used in freight loading systems in certain types of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gratings and cast tops subject to standard EN 1433, to be fitted as a component on channels in polymer, plastic, galvanised steel or concrete allowing surface water to flow into the channel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Floor drains, roof drains, cleanouts and covers for cleanouts, subject to standard EN 1253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Step irons, lifting keys, and fire hydrants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Spheroidal graphite cast iron (also known as ductile cast iron), and parts thereof, of a kind used to:</w:t>
            </w:r>
            <w:r>
              <w:br/>
              <w:t>– cover ground or sub-surfaces systems, and/or openings to ground or sub-surface systems, and also</w:t>
            </w:r>
            <w:r>
              <w:br/>
              <w:t>– give access to ground or sub-surface systems and/or provide view to ground or sub-surface systems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 or stamped, but not further worked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balls and similar articles for mills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iron or steel wire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fleece, consisting of a mass of stainless steel wires of diameters of 0.001 mm or more but not more than 0.070 mm, compacted by sintering and rolling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Ladders and steps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Pallets and similar platforms for handling goods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Reels for cables, piping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Non-mechanical ventilators, guttering, hooks and like articles used in the building industry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 of iron or steel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Open-die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Closed-die forged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Sintered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