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81</w:t>
      </w:r>
      <w:r>
        <w:br/>
        <w:t>Other Base Metals; Cermets; Articles Thereof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1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2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OTHER BASE METALS; CERMETS; ARTICLES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Tungsten (wolfram) and articles thereof, including waste and scrap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Powders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Unwrought tungsten, including bars and rods obtained simply by sintering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Wire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Waste and scrap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Bars and rods, other than those obtained simply by sintering, profiles, plates, sheets, strip and foil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Molybdenum and articles thereof, including waste and scrap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Powders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Unwrought molybdenum, including bars and rods obtained simply by sintering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Bars and rods, other than those obtained simply by sintering, profiles, plates, sheets, strip and foil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Wire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Waste and scrap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Tantalum and articles thereof, including waste and scrap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Unwrought tantalum, including bars and rods obtained simply by sintering; powders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Waste and scrap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Bars and rods, other than those obtained simply by sintering, profiles, wire, plates, sheets, strip and foil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Magnesium and articles thereof, including waste and scrap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Unwrought magnesium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at least 99.8% by weight of magnesium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Waste and scrap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Raspings, turnings and granules, graded according to size; powders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Cobalt mattes and other intermediate products of cobalt metallurgy; cobalt and articles thereof, including waste and scrap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Cobalt mattes and other intermediate products of cobalt metallurgy; unwrought cobalt; powders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Waste and scrap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Bismuth and articles thereof, including waste and scrap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8106 00 10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Unwrought bismuth; waste and scrap; powders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8106 00 90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Cadmium and articles thereof, including waste and scrap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Unwrought cadmium; powders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Waste and scrap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Titanium and articles thereof, including waste and scrap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Unwrought titanium; powders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Waste and scrap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Bars, rods, profiles and wire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Plates, sheets, strip and foil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Tubes and pipes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8108 90 60 10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Tubes and pipes, with attached fittings, suitable for conducting gases or liquids, for use in civil aircraft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8108 90 60 20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Thin-walled tubes ready for use in ventilation and air-conditioning systems, for use in certain types of aircraft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8108 90 60 30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Seamless tubes and pipes of a titanium or an alloy of titanium with:</w:t>
            </w:r>
            <w:r>
              <w:br/>
              <w:t>- a diameter of 19 mm or more but not more than 159 mm,</w:t>
            </w:r>
            <w:r>
              <w:br/>
              <w:t>- a wall thickness of 0.4 mm or more but not more than 8 mm, and</w:t>
            </w:r>
            <w:r>
              <w:br/>
              <w:t>- a maximum length of 18 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8108 90 60 90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Zirconium and articles thereof, including waste and scrap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Unwrought zirconium; powders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Waste and scrap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Antimony and articles thereof, including waste and scrap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Unwrought antimony; powders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Waste and scrap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Manganese and articles thereof, including waste and scrap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Unwrought manganese; waste and scrap; powders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8111 00 11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Unwrought manganese; powders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8111 00 19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Waste and scrap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Beryllium, chromium, germanium, vanadium, gallium, hafnium, indium, niobium (columbium), rhenium and thallium, and articles of these metals, including waste and scrap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Beryllium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Unwrought; powders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Waste and scrap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Chromium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Unwrought; powders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Alloys containing more than 10% by weight of nickel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Waste and scrap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Thallium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Unwrought; powders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Waste and scrap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Unwrought; waste and scrap; powders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Hafnium (celtium)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Niobium (columbium); rhenium; gallium; indium; vanadium; germanium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8112 92 21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Waste and scrap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Niobium (columbium); rhenium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8112 92 81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Indium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8112 92 89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Gallium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Vanadium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8112 92 95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Germanium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Hafnium (celtium); germanium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Niobium (columbium); rhenium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8112 99 70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Gallium; indium; vanadium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Cermets and articles thereof, including waste and scrap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8113 00 20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Unwrought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8113 00 40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Waste and scrap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