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XXI</w:t>
      </w:r>
      <w:r>
        <w:br/>
        <w:t>Works of art, collectors' pieces and antiques</w:t>
      </w:r>
    </w:p>
    <w:p>
      <w:pPr>
        <w:pStyle w:val="Heading2"/>
      </w:pPr>
      <w:r>
        <w:t>Chapter 97</w:t>
      </w:r>
      <w:r>
        <w:br/>
        <w:t>Works of Art, Collectors' Pieces and Antiques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WORKS OF ART, COLLECTORS' PIECES AND ANTIQUES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Paintings, drawings and pastels, executed entirely by hand, other than drawings of heading 4906 and other than hand-painted or hand-decorated manufactured articles; collages and similar decorative plaques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Paintings, drawings and pastels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Original engravings, prints and lithographs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Original sculptures and statuary, in any material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Postage or revenue stamps, stamp-postmarks, first-day covers, postal stationery (stamped paper), and the like, used or unused, other than those of heading 4907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Collections and collectors' pieces of zoological, botanical, mineralogical, anatomical, historical, archaeological, palaeontological, ethnographic or numismatic interest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Antiques of an age exceeding 100 years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