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375A6" w14:textId="19B94105" w:rsidR="001639B7" w:rsidRPr="00917310" w:rsidRDefault="00FB5C8B" w:rsidP="00C107F4">
      <w:pPr>
        <w:pStyle w:val="Title"/>
      </w:pPr>
      <w:r>
        <w:t xml:space="preserve">Migrating and </w:t>
      </w:r>
      <w:r w:rsidR="00B91208">
        <w:t>terminating measures</w:t>
      </w:r>
      <w:bookmarkStart w:id="0" w:name="_GoBack"/>
      <w:bookmarkEnd w:id="0"/>
    </w:p>
    <w:p w14:paraId="78DD5CC3" w14:textId="335B4F25" w:rsidR="007B0B71" w:rsidRDefault="003D0B5C">
      <w:pPr>
        <w:pStyle w:val="TOC1"/>
        <w:tabs>
          <w:tab w:val="right" w:leader="dot" w:pos="9010"/>
        </w:tabs>
        <w:rPr>
          <w:rFonts w:eastAsiaTheme="minorEastAsia"/>
          <w:b w:val="0"/>
          <w:noProof/>
          <w:sz w:val="24"/>
          <w:lang w:eastAsia="en-GB"/>
        </w:rPr>
      </w:pPr>
      <w:r w:rsidRPr="00917310">
        <w:fldChar w:fldCharType="begin"/>
      </w:r>
      <w:r w:rsidRPr="00917310">
        <w:instrText xml:space="preserve"> TOC \o "1-2" \h \z \u </w:instrText>
      </w:r>
      <w:r w:rsidRPr="00917310">
        <w:fldChar w:fldCharType="separate"/>
      </w:r>
      <w:hyperlink w:anchor="_Toc14587887" w:history="1">
        <w:r w:rsidR="007B0B71" w:rsidRPr="005101FD">
          <w:rPr>
            <w:rStyle w:val="Hyperlink"/>
            <w:noProof/>
          </w:rPr>
          <w:t>Introduction</w:t>
        </w:r>
        <w:r w:rsidR="007B0B71">
          <w:rPr>
            <w:noProof/>
            <w:webHidden/>
          </w:rPr>
          <w:tab/>
        </w:r>
        <w:r w:rsidR="007B0B71">
          <w:rPr>
            <w:noProof/>
            <w:webHidden/>
          </w:rPr>
          <w:fldChar w:fldCharType="begin"/>
        </w:r>
        <w:r w:rsidR="007B0B71">
          <w:rPr>
            <w:noProof/>
            <w:webHidden/>
          </w:rPr>
          <w:instrText xml:space="preserve"> PAGEREF _Toc14587887 \h </w:instrText>
        </w:r>
        <w:r w:rsidR="007B0B71">
          <w:rPr>
            <w:noProof/>
            <w:webHidden/>
          </w:rPr>
        </w:r>
        <w:r w:rsidR="007B0B71">
          <w:rPr>
            <w:noProof/>
            <w:webHidden/>
          </w:rPr>
          <w:fldChar w:fldCharType="separate"/>
        </w:r>
        <w:r w:rsidR="007B0B71">
          <w:rPr>
            <w:noProof/>
            <w:webHidden/>
          </w:rPr>
          <w:t>1</w:t>
        </w:r>
        <w:r w:rsidR="007B0B71">
          <w:rPr>
            <w:noProof/>
            <w:webHidden/>
          </w:rPr>
          <w:fldChar w:fldCharType="end"/>
        </w:r>
      </w:hyperlink>
    </w:p>
    <w:p w14:paraId="5F3CA352" w14:textId="5CF34780" w:rsidR="007B0B71" w:rsidRDefault="007B0B71">
      <w:pPr>
        <w:pStyle w:val="TOC1"/>
        <w:tabs>
          <w:tab w:val="right" w:leader="dot" w:pos="9010"/>
        </w:tabs>
        <w:rPr>
          <w:rFonts w:eastAsiaTheme="minorEastAsia"/>
          <w:b w:val="0"/>
          <w:noProof/>
          <w:sz w:val="24"/>
          <w:lang w:eastAsia="en-GB"/>
        </w:rPr>
      </w:pPr>
      <w:hyperlink w:anchor="_Toc14587888" w:history="1">
        <w:r w:rsidRPr="005101FD">
          <w:rPr>
            <w:rStyle w:val="Hyperlink"/>
            <w:noProof/>
          </w:rPr>
          <w:t>Use cases for using migration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5262B9" w14:textId="7112379A" w:rsidR="007B0B71" w:rsidRDefault="007B0B71">
      <w:pPr>
        <w:pStyle w:val="TOC1"/>
        <w:tabs>
          <w:tab w:val="right" w:leader="dot" w:pos="9010"/>
        </w:tabs>
        <w:rPr>
          <w:rFonts w:eastAsiaTheme="minorEastAsia"/>
          <w:b w:val="0"/>
          <w:noProof/>
          <w:sz w:val="24"/>
          <w:lang w:eastAsia="en-GB"/>
        </w:rPr>
      </w:pPr>
      <w:hyperlink w:anchor="_Toc14587889" w:history="1">
        <w:r w:rsidRPr="005101FD">
          <w:rPr>
            <w:rStyle w:val="Hyperlink"/>
            <w:noProof/>
          </w:rPr>
          <w:t>What do we migrate?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A21631" w14:textId="7A42C065" w:rsidR="007B0B71" w:rsidRDefault="007B0B71">
      <w:pPr>
        <w:pStyle w:val="TOC1"/>
        <w:tabs>
          <w:tab w:val="right" w:leader="dot" w:pos="9010"/>
        </w:tabs>
        <w:rPr>
          <w:rFonts w:eastAsiaTheme="minorEastAsia"/>
          <w:b w:val="0"/>
          <w:noProof/>
          <w:sz w:val="24"/>
          <w:lang w:eastAsia="en-GB"/>
        </w:rPr>
      </w:pPr>
      <w:hyperlink w:anchor="_Toc14587890" w:history="1">
        <w:r w:rsidRPr="005101FD">
          <w:rPr>
            <w:rStyle w:val="Hyperlink"/>
            <w:noProof/>
          </w:rPr>
          <w:t>The basic script and running 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3A3E7B" w14:textId="693E1A3D" w:rsidR="007B0B71" w:rsidRDefault="007B0B71">
      <w:pPr>
        <w:pStyle w:val="TOC2"/>
        <w:tabs>
          <w:tab w:val="right" w:leader="dot" w:pos="9010"/>
        </w:tabs>
        <w:rPr>
          <w:rFonts w:eastAsiaTheme="minorEastAsia"/>
          <w:noProof/>
          <w:sz w:val="24"/>
          <w:lang w:eastAsia="en-GB"/>
        </w:rPr>
      </w:pPr>
      <w:hyperlink w:anchor="_Toc14587891" w:history="1">
        <w:r w:rsidRPr="005101FD">
          <w:rPr>
            <w:rStyle w:val="Hyperlink"/>
            <w:noProof/>
          </w:rPr>
          <w:t>Additional parameters for migrating by country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7B9EA4" w14:textId="2C2A7B61" w:rsidR="007B0B71" w:rsidRDefault="007B0B71">
      <w:pPr>
        <w:pStyle w:val="TOC2"/>
        <w:tabs>
          <w:tab w:val="right" w:leader="dot" w:pos="9010"/>
        </w:tabs>
        <w:rPr>
          <w:rFonts w:eastAsiaTheme="minorEastAsia"/>
          <w:noProof/>
          <w:sz w:val="24"/>
          <w:lang w:eastAsia="en-GB"/>
        </w:rPr>
      </w:pPr>
      <w:hyperlink w:anchor="_Toc14587892" w:history="1">
        <w:r w:rsidRPr="005101FD">
          <w:rPr>
            <w:rStyle w:val="Hyperlink"/>
            <w:noProof/>
          </w:rPr>
          <w:t>Additional parameters for migrating by measure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81EEFF" w14:textId="2EE079EB" w:rsidR="007B0B71" w:rsidRDefault="007B0B71">
      <w:pPr>
        <w:pStyle w:val="TOC2"/>
        <w:tabs>
          <w:tab w:val="right" w:leader="dot" w:pos="9010"/>
        </w:tabs>
        <w:rPr>
          <w:rFonts w:eastAsiaTheme="minorEastAsia"/>
          <w:noProof/>
          <w:sz w:val="24"/>
          <w:lang w:eastAsia="en-GB"/>
        </w:rPr>
      </w:pPr>
      <w:hyperlink w:anchor="_Toc14587893" w:history="1">
        <w:r w:rsidRPr="005101FD">
          <w:rPr>
            <w:rStyle w:val="Hyperlink"/>
            <w:noProof/>
          </w:rPr>
          <w:t>Additional parameters for migrating by regulation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BA6056" w14:textId="3D012A3F" w:rsidR="007B0B71" w:rsidRDefault="007B0B71">
      <w:pPr>
        <w:pStyle w:val="TOC2"/>
        <w:tabs>
          <w:tab w:val="right" w:leader="dot" w:pos="9010"/>
        </w:tabs>
        <w:rPr>
          <w:rFonts w:eastAsiaTheme="minorEastAsia"/>
          <w:noProof/>
          <w:sz w:val="24"/>
          <w:lang w:eastAsia="en-GB"/>
        </w:rPr>
      </w:pPr>
      <w:hyperlink w:anchor="_Toc14587894" w:history="1">
        <w:r w:rsidRPr="005101FD">
          <w:rPr>
            <w:rStyle w:val="Hyperlink"/>
            <w:noProof/>
          </w:rPr>
          <w:t>Bulk migrating by regulation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_Toc14587894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3D080C" w14:textId="02F7D61A" w:rsidR="00F703EE" w:rsidRPr="007B0B71" w:rsidRDefault="003D0B5C" w:rsidP="007B0B71">
      <w:pPr>
        <w:pStyle w:val="Heading1"/>
      </w:pPr>
      <w:r w:rsidRPr="00917310">
        <w:fldChar w:fldCharType="end"/>
      </w:r>
      <w:bookmarkStart w:id="1" w:name="_Toc14587887"/>
      <w:r w:rsidR="00F703EE" w:rsidRPr="00917310">
        <w:t>Introductio</w:t>
      </w:r>
      <w:r w:rsidR="003A3C1B">
        <w:t>n</w:t>
      </w:r>
      <w:bookmarkEnd w:id="1"/>
    </w:p>
    <w:p w14:paraId="0F9B8083" w14:textId="7C8BE7F6" w:rsidR="00FB5C8B" w:rsidRDefault="00FB5C8B">
      <w:r>
        <w:t>Much of the work that needs to be undertaken on the UK Tariff is to either migrate EU measures as-is or to simply end-date the EU measures on the day before we go independent.</w:t>
      </w:r>
    </w:p>
    <w:p w14:paraId="1E4ECAAB" w14:textId="285DC951" w:rsidR="00FB5C8B" w:rsidRDefault="00FB5C8B">
      <w:r>
        <w:t>There are a number of scripts that have been written that enable much of the grunt-work to be taken out of the data migration process where the content of these data objects does not change materially.</w:t>
      </w:r>
    </w:p>
    <w:p w14:paraId="3100F527" w14:textId="2B6E447A" w:rsidR="00FB5C8B" w:rsidRDefault="00FB5C8B">
      <w:r>
        <w:t>What does materially mean?</w:t>
      </w:r>
    </w:p>
    <w:p w14:paraId="4045B5DE" w14:textId="7B5866F2" w:rsidR="00FB5C8B" w:rsidRDefault="00FB5C8B">
      <w:r>
        <w:t>Good point – I will answer this when I know</w:t>
      </w:r>
    </w:p>
    <w:p w14:paraId="09724EC0" w14:textId="3A6813F6" w:rsidR="00FB5C8B" w:rsidRDefault="00FB5C8B" w:rsidP="00FB5C8B">
      <w:pPr>
        <w:pStyle w:val="Heading1"/>
      </w:pPr>
      <w:bookmarkStart w:id="2" w:name="_Toc14587888"/>
      <w:r>
        <w:t>Use cases for using migration scripts</w:t>
      </w:r>
      <w:bookmarkEnd w:id="2"/>
    </w:p>
    <w:p w14:paraId="1D96A424" w14:textId="56619EE4" w:rsidR="008E2A92" w:rsidRDefault="008E2A92" w:rsidP="008E2A92">
      <w:pPr>
        <w:pStyle w:val="Heading3"/>
      </w:pPr>
      <w:r>
        <w:t>Migration by measure type</w:t>
      </w:r>
    </w:p>
    <w:p w14:paraId="45D28ED9" w14:textId="4C275FE5" w:rsidR="00FB5C8B" w:rsidRDefault="008E2A92" w:rsidP="008E2A92">
      <w:pPr>
        <w:pStyle w:val="ListBullet"/>
      </w:pPr>
      <w:r>
        <w:t>All the measures for a particular measure type are to be closed off</w:t>
      </w:r>
    </w:p>
    <w:p w14:paraId="435D00B4" w14:textId="34B9101E" w:rsidR="008E2A92" w:rsidRDefault="008E2A92" w:rsidP="008E2A92">
      <w:pPr>
        <w:pStyle w:val="ListBullet"/>
      </w:pPr>
      <w:r>
        <w:t>All the measures for a particular measure type are to be migrated to another measure type</w:t>
      </w:r>
    </w:p>
    <w:p w14:paraId="3BCA978B" w14:textId="3A8A6554" w:rsidR="008E2A92" w:rsidRDefault="008E2A92" w:rsidP="008E2A92">
      <w:pPr>
        <w:pStyle w:val="Heading3"/>
      </w:pPr>
      <w:r>
        <w:t>Migration by geographical area</w:t>
      </w:r>
    </w:p>
    <w:p w14:paraId="3AAC164E" w14:textId="7A19687E" w:rsidR="008E2A92" w:rsidRDefault="008E2A92" w:rsidP="008E2A92">
      <w:pPr>
        <w:pStyle w:val="ListBullet"/>
      </w:pPr>
      <w:r>
        <w:t>All preferential measures for a particular country are to be migrated to another regulation</w:t>
      </w:r>
    </w:p>
    <w:p w14:paraId="1A317997" w14:textId="747BCAFE" w:rsidR="008E2A92" w:rsidRDefault="008E2A92" w:rsidP="008E2A92">
      <w:pPr>
        <w:pStyle w:val="ListBullet"/>
      </w:pPr>
      <w:r>
        <w:t>All preferential measures for a particular country are to be closed off</w:t>
      </w:r>
    </w:p>
    <w:p w14:paraId="70C9EA71" w14:textId="0107FB1D" w:rsidR="008E2A92" w:rsidRDefault="008E2A92" w:rsidP="008E2A92">
      <w:pPr>
        <w:pStyle w:val="Heading3"/>
      </w:pPr>
      <w:r>
        <w:t>Migration by regulation</w:t>
      </w:r>
    </w:p>
    <w:p w14:paraId="654320FE" w14:textId="097A0F99" w:rsidR="008E2A92" w:rsidRDefault="008E2A92" w:rsidP="008E2A92">
      <w:pPr>
        <w:pStyle w:val="ListBullet"/>
      </w:pPr>
      <w:r>
        <w:t>All measures belonging to a particular regulation are to be closed off</w:t>
      </w:r>
    </w:p>
    <w:p w14:paraId="6D8E43AC" w14:textId="26F6032B" w:rsidR="008E2A92" w:rsidRDefault="008E2A92" w:rsidP="008E2A92">
      <w:pPr>
        <w:pStyle w:val="ListBullet"/>
      </w:pPr>
      <w:r>
        <w:t>All measures belonging to a particular regulation are to be migrated to another regulation</w:t>
      </w:r>
    </w:p>
    <w:p w14:paraId="46E44A7C" w14:textId="110494B4" w:rsidR="008E2A92" w:rsidRPr="008E2A92" w:rsidRDefault="008E2A92" w:rsidP="008E2A92">
      <w:pPr>
        <w:pStyle w:val="Heading3"/>
      </w:pPr>
      <w:r>
        <w:t>Bulk migration</w:t>
      </w:r>
    </w:p>
    <w:p w14:paraId="197A2230" w14:textId="20FD5FE6" w:rsidR="008E2A92" w:rsidRDefault="008E2A92" w:rsidP="008E2A92">
      <w:pPr>
        <w:pStyle w:val="ListBullet"/>
      </w:pPr>
      <w:r>
        <w:t>Multiple of the migrations above are to be performed sequentially</w:t>
      </w:r>
    </w:p>
    <w:p w14:paraId="51154443" w14:textId="37E8A13F" w:rsidR="001873BA" w:rsidRDefault="001873BA" w:rsidP="001873BA">
      <w:pPr>
        <w:pStyle w:val="Heading1"/>
      </w:pPr>
      <w:bookmarkStart w:id="3" w:name="_Toc14587889"/>
      <w:r>
        <w:t>What do we migrate?</w:t>
      </w:r>
      <w:bookmarkEnd w:id="3"/>
    </w:p>
    <w:p w14:paraId="727EBEBB" w14:textId="42BA48EB" w:rsidR="001873BA" w:rsidRDefault="000B04CA" w:rsidP="001873BA">
      <w:r>
        <w:t>Measures consist of much more than just the measures themselves. When migrating measures, all related elements are also migrated:</w:t>
      </w:r>
    </w:p>
    <w:p w14:paraId="7F8C28B9" w14:textId="4D9445B3" w:rsidR="000B04CA" w:rsidRDefault="000B04CA" w:rsidP="000B04CA">
      <w:pPr>
        <w:pStyle w:val="ListBullet"/>
      </w:pPr>
      <w:r>
        <w:lastRenderedPageBreak/>
        <w:t>Measure components</w:t>
      </w:r>
    </w:p>
    <w:p w14:paraId="4C42BACB" w14:textId="1BB5B350" w:rsidR="000B04CA" w:rsidRDefault="000B04CA" w:rsidP="000B04CA">
      <w:pPr>
        <w:pStyle w:val="ListBullet"/>
      </w:pPr>
      <w:r>
        <w:t>Measure conditions</w:t>
      </w:r>
    </w:p>
    <w:p w14:paraId="24ACC5A0" w14:textId="2687EAD3" w:rsidR="000B04CA" w:rsidRDefault="000B04CA" w:rsidP="000B04CA">
      <w:pPr>
        <w:pStyle w:val="ListBullet"/>
      </w:pPr>
      <w:r>
        <w:t>Measure condition components</w:t>
      </w:r>
    </w:p>
    <w:p w14:paraId="47486C7B" w14:textId="7662AE95" w:rsidR="000B04CA" w:rsidRDefault="000B04CA" w:rsidP="000B04CA">
      <w:pPr>
        <w:pStyle w:val="ListBullet"/>
      </w:pPr>
      <w:r>
        <w:t>Measure geographical exclusions</w:t>
      </w:r>
    </w:p>
    <w:p w14:paraId="42D07128" w14:textId="28137A4D" w:rsidR="000B04CA" w:rsidRDefault="000B04CA" w:rsidP="000B04CA">
      <w:pPr>
        <w:pStyle w:val="ListBullet"/>
      </w:pPr>
      <w:r>
        <w:t>Measure footnote associations</w:t>
      </w:r>
    </w:p>
    <w:p w14:paraId="0E47AC86" w14:textId="4F9A4637" w:rsidR="000B04CA" w:rsidRDefault="000B04CA" w:rsidP="000B04CA">
      <w:pPr>
        <w:pStyle w:val="ListBullet"/>
      </w:pPr>
      <w:r>
        <w:t>Measure partial temporary stops</w:t>
      </w:r>
    </w:p>
    <w:p w14:paraId="5EC467F6" w14:textId="31F43AFE" w:rsidR="00BE44C9" w:rsidRPr="007B0B71" w:rsidRDefault="000B04CA" w:rsidP="007B0B71">
      <w:r>
        <w:t>The script takes care of all of these.</w:t>
      </w:r>
    </w:p>
    <w:p w14:paraId="51DB5526" w14:textId="42D41F5F" w:rsidR="00FB5C8B" w:rsidRDefault="008E2A92" w:rsidP="008E2A92">
      <w:pPr>
        <w:pStyle w:val="Heading1"/>
      </w:pPr>
      <w:bookmarkStart w:id="4" w:name="_Toc14587890"/>
      <w:r>
        <w:t>The basic script and running it</w:t>
      </w:r>
      <w:bookmarkEnd w:id="4"/>
    </w:p>
    <w:p w14:paraId="309F350D" w14:textId="66C30252" w:rsidR="008E2A92" w:rsidRDefault="008E2A92" w:rsidP="008E2A92">
      <w:r>
        <w:t>The core script is called:</w:t>
      </w:r>
    </w:p>
    <w:p w14:paraId="7A1CE63A" w14:textId="088D5269" w:rsidR="008E2A92" w:rsidRPr="008E2A92" w:rsidRDefault="008E2A92" w:rsidP="008E2A92">
      <w:pPr>
        <w:pStyle w:val="Code"/>
      </w:pPr>
      <w:r w:rsidRPr="008E2A92">
        <w:t>migrate_measures.py</w:t>
      </w:r>
    </w:p>
    <w:p w14:paraId="5A2A29E9" w14:textId="623CF262" w:rsidR="008E2A92" w:rsidRDefault="008E2A92" w:rsidP="008E2A92">
      <w:pPr>
        <w:pStyle w:val="Tight"/>
      </w:pPr>
    </w:p>
    <w:p w14:paraId="05D1BC3C" w14:textId="69129B58" w:rsidR="00BE44C9" w:rsidRDefault="00D95D8B" w:rsidP="008E2A92">
      <w:pPr>
        <w:pStyle w:val="Tight"/>
      </w:pPr>
      <w:r>
        <w:t>The script can take multiple arguments which decide how it responds to the multiple use cases noted above. The following parameters are used:</w:t>
      </w:r>
    </w:p>
    <w:p w14:paraId="57DFE15B" w14:textId="09DE5F8E" w:rsidR="00D95D8B" w:rsidRPr="008E2A92" w:rsidRDefault="00BE44C9" w:rsidP="00BE44C9">
      <w:pPr>
        <w:pStyle w:val="Heading3"/>
      </w:pPr>
      <w:r>
        <w:t>Shared parameters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663"/>
        <w:gridCol w:w="1742"/>
        <w:gridCol w:w="6605"/>
      </w:tblGrid>
      <w:tr w:rsidR="00D95D8B" w:rsidRPr="00B829A0" w14:paraId="640927B2" w14:textId="77777777" w:rsidTr="00E42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3" w:type="dxa"/>
          </w:tcPr>
          <w:p w14:paraId="34CD734C" w14:textId="45BA7BE0" w:rsidR="00D95D8B" w:rsidRPr="00B829A0" w:rsidRDefault="00D95D8B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48CD0366" w14:textId="3C40CAF2" w:rsidR="00D95D8B" w:rsidRPr="00B829A0" w:rsidRDefault="00D95D8B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Parameter</w:t>
            </w:r>
          </w:p>
        </w:tc>
        <w:tc>
          <w:tcPr>
            <w:tcW w:w="6605" w:type="dxa"/>
          </w:tcPr>
          <w:p w14:paraId="7C084342" w14:textId="608671B1" w:rsidR="00D95D8B" w:rsidRDefault="00D95D8B" w:rsidP="0037460D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Notes</w:t>
            </w:r>
          </w:p>
        </w:tc>
      </w:tr>
      <w:tr w:rsidR="00D95D8B" w:rsidRPr="00B829A0" w14:paraId="4F00049C" w14:textId="77777777" w:rsidTr="00E4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03D05806" w14:textId="3EC2A534" w:rsidR="00D95D8B" w:rsidRPr="00B829A0" w:rsidRDefault="00D95D8B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6ACD7F5F" w14:textId="07F3F504" w:rsidR="00D95D8B" w:rsidRPr="00B829A0" w:rsidRDefault="00D95D8B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Scope</w:t>
            </w:r>
          </w:p>
        </w:tc>
        <w:tc>
          <w:tcPr>
            <w:tcW w:w="6605" w:type="dxa"/>
          </w:tcPr>
          <w:p w14:paraId="2E944D28" w14:textId="77777777" w:rsidR="00D95D8B" w:rsidRDefault="00D95D8B" w:rsidP="0037460D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This parameter determines which kind of migration is to be undertaken. The options are:</w:t>
            </w:r>
          </w:p>
          <w:p w14:paraId="1F2C0602" w14:textId="77777777" w:rsidR="00D95D8B" w:rsidRDefault="00D95D8B" w:rsidP="00D95D8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95D8B">
              <w:rPr>
                <w:rStyle w:val="CourierBold"/>
              </w:rPr>
              <w:t>m</w:t>
            </w:r>
            <w:r>
              <w:rPr>
                <w:lang w:eastAsia="en-GB"/>
              </w:rPr>
              <w:t xml:space="preserve"> – to migrate by measure type</w:t>
            </w:r>
          </w:p>
          <w:p w14:paraId="73349B95" w14:textId="77777777" w:rsidR="00D95D8B" w:rsidRDefault="00D95D8B" w:rsidP="00D95D8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95D8B">
              <w:rPr>
                <w:rStyle w:val="CourierBold"/>
              </w:rPr>
              <w:t>r</w:t>
            </w:r>
            <w:r>
              <w:rPr>
                <w:lang w:eastAsia="en-GB"/>
              </w:rPr>
              <w:t xml:space="preserve"> – to migrate by regulation</w:t>
            </w:r>
          </w:p>
          <w:p w14:paraId="2CB4A30D" w14:textId="77777777" w:rsidR="00D95D8B" w:rsidRDefault="00D95D8B" w:rsidP="00D95D8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95D8B">
              <w:rPr>
                <w:rStyle w:val="CourierBold"/>
              </w:rPr>
              <w:t>c</w:t>
            </w:r>
            <w:r>
              <w:rPr>
                <w:lang w:eastAsia="en-GB"/>
              </w:rPr>
              <w:t xml:space="preserve"> – to migrate by country</w:t>
            </w:r>
          </w:p>
          <w:p w14:paraId="689C4B42" w14:textId="06ED8FB0" w:rsidR="00D95D8B" w:rsidRDefault="00D95D8B" w:rsidP="0037460D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Each of these is a shortened form of a full parameter, respectively </w:t>
            </w:r>
            <w:proofErr w:type="spellStart"/>
            <w:r w:rsidRPr="00D95D8B">
              <w:rPr>
                <w:b/>
                <w:bCs/>
                <w:lang w:eastAsia="en-GB"/>
              </w:rPr>
              <w:t>measuretype</w:t>
            </w:r>
            <w:proofErr w:type="spellEnd"/>
            <w:r>
              <w:rPr>
                <w:lang w:eastAsia="en-GB"/>
              </w:rPr>
              <w:t xml:space="preserve">, </w:t>
            </w:r>
            <w:r w:rsidRPr="00D95D8B">
              <w:rPr>
                <w:b/>
                <w:bCs/>
                <w:lang w:eastAsia="en-GB"/>
              </w:rPr>
              <w:t>regulation</w:t>
            </w:r>
            <w:r>
              <w:rPr>
                <w:lang w:eastAsia="en-GB"/>
              </w:rPr>
              <w:t xml:space="preserve"> and </w:t>
            </w:r>
            <w:r w:rsidRPr="00D95D8B">
              <w:rPr>
                <w:b/>
                <w:bCs/>
                <w:lang w:eastAsia="en-GB"/>
              </w:rPr>
              <w:t>country</w:t>
            </w:r>
            <w:r>
              <w:rPr>
                <w:lang w:eastAsia="en-GB"/>
              </w:rPr>
              <w:t>.</w:t>
            </w:r>
          </w:p>
        </w:tc>
      </w:tr>
      <w:tr w:rsidR="00D95D8B" w:rsidRPr="00B829A0" w14:paraId="08477D6B" w14:textId="77777777" w:rsidTr="00E429D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501D8459" w14:textId="4C489163" w:rsidR="00D95D8B" w:rsidRPr="00B829A0" w:rsidRDefault="00D95D8B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176B1A95" w14:textId="240DF488" w:rsidR="00D95D8B" w:rsidRPr="00B829A0" w:rsidRDefault="00E429D6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Action type</w:t>
            </w:r>
          </w:p>
        </w:tc>
        <w:tc>
          <w:tcPr>
            <w:tcW w:w="6605" w:type="dxa"/>
          </w:tcPr>
          <w:p w14:paraId="4EF8DA7C" w14:textId="77777777" w:rsidR="00D95D8B" w:rsidRDefault="00E429D6" w:rsidP="0037460D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This parameter determines if we are going to be terminating or restarting a set of measures. The following two parameter options are available:</w:t>
            </w:r>
          </w:p>
          <w:p w14:paraId="3FC7CEBF" w14:textId="5707CF75" w:rsidR="00E429D6" w:rsidRDefault="00E429D6" w:rsidP="00E429D6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Style w:val="CourierBold"/>
              </w:rPr>
              <w:t>t</w:t>
            </w:r>
            <w:r>
              <w:rPr>
                <w:lang w:eastAsia="en-GB"/>
              </w:rPr>
              <w:t xml:space="preserve"> – to terminate a set of measures</w:t>
            </w:r>
          </w:p>
          <w:p w14:paraId="6810ACE4" w14:textId="17D23B0B" w:rsidR="00E429D6" w:rsidRDefault="00E429D6" w:rsidP="00E429D6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95D8B">
              <w:rPr>
                <w:rStyle w:val="CourierBold"/>
              </w:rPr>
              <w:t>r</w:t>
            </w:r>
            <w:r>
              <w:rPr>
                <w:lang w:eastAsia="en-GB"/>
              </w:rPr>
              <w:t xml:space="preserve"> – to restart a set of measures</w:t>
            </w:r>
          </w:p>
          <w:p w14:paraId="283D5739" w14:textId="77777777" w:rsidR="00E429D6" w:rsidRDefault="00E429D6" w:rsidP="0037460D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By restart, we mean the following:</w:t>
            </w:r>
          </w:p>
          <w:p w14:paraId="611C89F3" w14:textId="77777777" w:rsidR="00E429D6" w:rsidRDefault="00E429D6" w:rsidP="00E429D6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locate a set of measures</w:t>
            </w:r>
          </w:p>
          <w:p w14:paraId="445E6C00" w14:textId="51371065" w:rsidR="00E429D6" w:rsidRDefault="00E429D6" w:rsidP="00E429D6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terminate those measures on the day before EU exit</w:t>
            </w:r>
          </w:p>
          <w:p w14:paraId="02E78E37" w14:textId="76E311F6" w:rsidR="00E429D6" w:rsidRDefault="00E429D6" w:rsidP="00E429D6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restart those measures on the first day of EU Exit </w:t>
            </w:r>
          </w:p>
        </w:tc>
      </w:tr>
    </w:tbl>
    <w:p w14:paraId="479C9CA6" w14:textId="77777777" w:rsidR="00D1213E" w:rsidRDefault="00D1213E" w:rsidP="00D1213E">
      <w:pPr>
        <w:pStyle w:val="Tight"/>
      </w:pPr>
    </w:p>
    <w:p w14:paraId="1FBECF38" w14:textId="77777777" w:rsidR="00BE44C9" w:rsidRDefault="00BE44C9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</w:rPr>
      </w:pPr>
      <w:r>
        <w:br w:type="page"/>
      </w:r>
    </w:p>
    <w:p w14:paraId="7435E568" w14:textId="58B22E33" w:rsidR="00D1213E" w:rsidRDefault="00D1213E" w:rsidP="007B0B71">
      <w:pPr>
        <w:pStyle w:val="Heading2"/>
      </w:pPr>
      <w:bookmarkStart w:id="5" w:name="_Toc14587891"/>
      <w:r>
        <w:lastRenderedPageBreak/>
        <w:t xml:space="preserve">Additional parameters for </w:t>
      </w:r>
      <w:r w:rsidR="00DB35C9">
        <w:t xml:space="preserve">migrating by </w:t>
      </w:r>
      <w:r>
        <w:t>countr</w:t>
      </w:r>
      <w:r w:rsidR="00DB35C9">
        <w:t>y</w:t>
      </w:r>
      <w:bookmarkEnd w:id="5"/>
    </w:p>
    <w:p w14:paraId="5D3685A5" w14:textId="0EFA825C" w:rsidR="00D1213E" w:rsidRDefault="00D1213E" w:rsidP="00D1213E">
      <w:r>
        <w:t>This route is taken for the following reasons:</w:t>
      </w:r>
    </w:p>
    <w:p w14:paraId="3B67B028" w14:textId="39272FC9" w:rsidR="00D1213E" w:rsidRDefault="00D1213E" w:rsidP="00D1213E">
      <w:pPr>
        <w:pStyle w:val="ListBullet"/>
      </w:pPr>
      <w:r>
        <w:t>A trade agreement has not been transitioned: it must be closed off</w:t>
      </w:r>
    </w:p>
    <w:p w14:paraId="2F610604" w14:textId="0F218873" w:rsidR="00D1213E" w:rsidRDefault="00D1213E" w:rsidP="00D1213E">
      <w:pPr>
        <w:pStyle w:val="ListBullet"/>
      </w:pPr>
      <w:r>
        <w:t>A trade agreement has been transitioned: it must be copied to a new UK regulation</w:t>
      </w:r>
    </w:p>
    <w:p w14:paraId="147C6F02" w14:textId="7D6D73B5" w:rsidR="00D1213E" w:rsidRDefault="00D1213E" w:rsidP="00D1213E">
      <w:pPr>
        <w:pStyle w:val="ListBullet"/>
      </w:pPr>
      <w:r>
        <w:t>Preferential measures with non-FTA overseas nations are to be closed off</w:t>
      </w:r>
    </w:p>
    <w:p w14:paraId="384887F5" w14:textId="46A32FCC" w:rsidR="00D1213E" w:rsidRDefault="00D1213E" w:rsidP="00D1213E">
      <w:pPr>
        <w:pStyle w:val="ListBullet"/>
      </w:pPr>
      <w:r>
        <w:t>Preferential measures with non-FTA overseas nations are to be copied to a new UK regulation</w:t>
      </w:r>
    </w:p>
    <w:p w14:paraId="40B26170" w14:textId="6AFCD559" w:rsidR="00D1213E" w:rsidRPr="00D1213E" w:rsidRDefault="00D1213E" w:rsidP="00D1213E">
      <w:r>
        <w:t>It is important to note that only the preferential measures are carried over, not quota measures. Quota measures are migrated using other scripts described in the document</w:t>
      </w:r>
      <w:r w:rsidR="00DB35C9">
        <w:t>.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663"/>
        <w:gridCol w:w="1459"/>
        <w:gridCol w:w="6888"/>
      </w:tblGrid>
      <w:tr w:rsidR="00D95D8B" w:rsidRPr="00B829A0" w14:paraId="6AEE6C9F" w14:textId="77777777" w:rsidTr="00DB3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3" w:type="dxa"/>
          </w:tcPr>
          <w:p w14:paraId="2CC82C37" w14:textId="0373B36D" w:rsidR="00D95D8B" w:rsidRDefault="00D1213E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14:paraId="165504D6" w14:textId="6DBB1B31" w:rsidR="00D95D8B" w:rsidRPr="00B829A0" w:rsidRDefault="00D1213E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Parameter</w:t>
            </w:r>
          </w:p>
        </w:tc>
        <w:tc>
          <w:tcPr>
            <w:tcW w:w="6888" w:type="dxa"/>
          </w:tcPr>
          <w:p w14:paraId="56A74AD3" w14:textId="48ED8838" w:rsidR="00D95D8B" w:rsidRDefault="00D1213E" w:rsidP="0037460D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Notes</w:t>
            </w:r>
          </w:p>
        </w:tc>
      </w:tr>
      <w:tr w:rsidR="00D95D8B" w:rsidRPr="00B829A0" w14:paraId="15DA5348" w14:textId="77777777" w:rsidTr="00DB3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76207902" w14:textId="709D1540" w:rsidR="00D95D8B" w:rsidRDefault="00D95D8B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14:paraId="56CF42C1" w14:textId="7AC09E82" w:rsidR="00D95D8B" w:rsidRPr="00B829A0" w:rsidRDefault="00D1213E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Country profile</w:t>
            </w:r>
          </w:p>
        </w:tc>
        <w:tc>
          <w:tcPr>
            <w:tcW w:w="6888" w:type="dxa"/>
          </w:tcPr>
          <w:p w14:paraId="10CC9DFF" w14:textId="77777777" w:rsidR="00D95D8B" w:rsidRDefault="00D1213E" w:rsidP="007F3B2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This is a reference to the country or countries (more correctly the geographical area(s)) whose measures are to be migrated</w:t>
            </w:r>
            <w:r w:rsidR="007F3B2B">
              <w:rPr>
                <w:lang w:eastAsia="en-GB"/>
              </w:rPr>
              <w:t>.</w:t>
            </w:r>
          </w:p>
          <w:p w14:paraId="6041CE20" w14:textId="77777777" w:rsidR="007F3B2B" w:rsidRPr="007F3B2B" w:rsidRDefault="007F3B2B" w:rsidP="007F3B2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Country profiles are references to the data stored in the JSON configuration file entitled </w:t>
            </w:r>
            <w:proofErr w:type="spellStart"/>
            <w:r w:rsidRPr="007F3B2B">
              <w:rPr>
                <w:b/>
                <w:bCs/>
                <w:lang w:eastAsia="en-GB"/>
              </w:rPr>
              <w:t>config_migrate_measures_and_</w:t>
            </w:r>
            <w:proofErr w:type="gramStart"/>
            <w:r w:rsidRPr="007F3B2B">
              <w:rPr>
                <w:b/>
                <w:bCs/>
                <w:lang w:eastAsia="en-GB"/>
              </w:rPr>
              <w:t>quotas.json</w:t>
            </w:r>
            <w:proofErr w:type="spellEnd"/>
            <w:proofErr w:type="gramEnd"/>
          </w:p>
          <w:p w14:paraId="017499B9" w14:textId="77777777" w:rsidR="007F3B2B" w:rsidRDefault="007F3B2B" w:rsidP="007F3B2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The configuration that is relevant here is the </w:t>
            </w:r>
            <w:proofErr w:type="spellStart"/>
            <w:r>
              <w:rPr>
                <w:lang w:eastAsia="en-GB"/>
              </w:rPr>
              <w:t>country_codes</w:t>
            </w:r>
            <w:proofErr w:type="spellEnd"/>
            <w:r>
              <w:rPr>
                <w:lang w:eastAsia="en-GB"/>
              </w:rPr>
              <w:t xml:space="preserve"> node – in the example below this table, the profile for Albania is shown. It may be that an entry contains multiple country codes rather than just one as with Albania.</w:t>
            </w:r>
          </w:p>
          <w:p w14:paraId="6840B7DC" w14:textId="7F6FB394" w:rsidR="007F3B2B" w:rsidRDefault="007F3B2B" w:rsidP="007F3B2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This configuration file should be complete – there is no reason to modify the content</w:t>
            </w:r>
          </w:p>
        </w:tc>
      </w:tr>
      <w:tr w:rsidR="00D95D8B" w:rsidRPr="00B829A0" w14:paraId="215C6AB7" w14:textId="77777777" w:rsidTr="00DB35C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4EF8A000" w14:textId="55451F6D" w:rsidR="00D95D8B" w:rsidRDefault="00D95D8B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14:paraId="331EF665" w14:textId="3ABE4824" w:rsidR="00D95D8B" w:rsidRPr="00B829A0" w:rsidRDefault="00BE44C9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Future regulation string</w:t>
            </w:r>
          </w:p>
        </w:tc>
        <w:tc>
          <w:tcPr>
            <w:tcW w:w="6888" w:type="dxa"/>
          </w:tcPr>
          <w:p w14:paraId="2CD21184" w14:textId="61C74318" w:rsidR="00D95D8B" w:rsidRDefault="00BE44C9" w:rsidP="005C72D5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In which the UK regulation that </w:t>
            </w:r>
            <w:r w:rsidR="00DB35C9">
              <w:rPr>
                <w:lang w:eastAsia="en-GB"/>
              </w:rPr>
              <w:t>will</w:t>
            </w:r>
            <w:r>
              <w:rPr>
                <w:lang w:eastAsia="en-GB"/>
              </w:rPr>
              <w:t xml:space="preserve"> house these measures is captured.</w:t>
            </w:r>
          </w:p>
          <w:p w14:paraId="45DF44BA" w14:textId="44A44E59" w:rsidR="005C72D5" w:rsidRDefault="005C72D5" w:rsidP="005C72D5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This is only required if the measures identified are to be carried over into the UK tariff</w:t>
            </w:r>
          </w:p>
        </w:tc>
      </w:tr>
    </w:tbl>
    <w:p w14:paraId="05D5C74F" w14:textId="22D57C8A" w:rsidR="007F3B2B" w:rsidRPr="00BE44C9" w:rsidRDefault="007F3B2B" w:rsidP="00BE44C9">
      <w:pPr>
        <w:pStyle w:val="Tight"/>
      </w:pPr>
    </w:p>
    <w:p w14:paraId="73177F4A" w14:textId="77777777" w:rsidR="00BE44C9" w:rsidRDefault="00BE44C9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</w:p>
    <w:p w14:paraId="72CEEEE0" w14:textId="0979198C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"albania"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: {</w:t>
      </w:r>
    </w:p>
    <w:p w14:paraId="07AEF393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"produce_schedule"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"Yes"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5DC30CF7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"country_name"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"Albania"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1ED55346" w14:textId="3F6F106A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"agreement_name"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 xml:space="preserve">"Agreement between the </w:t>
      </w:r>
      <w:r w:rsidR="00BE44C9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UK an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d Albania"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78E85B59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"agreement_date"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"05/02/2019"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05056B02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"version"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"1.0"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3BE6E100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"country_codes"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: [</w:t>
      </w:r>
    </w:p>
    <w:p w14:paraId="23529C76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   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"AL"</w:t>
      </w:r>
    </w:p>
    <w:p w14:paraId="33491E14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],</w:t>
      </w:r>
    </w:p>
    <w:p w14:paraId="1713BC7C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"table_per_country"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7F3B2B">
        <w:rPr>
          <w:rFonts w:ascii="Menlo" w:eastAsia="Times New Roman" w:hAnsi="Menlo" w:cs="Menlo"/>
          <w:noProof/>
          <w:color w:val="B5CEA8"/>
          <w:sz w:val="18"/>
          <w:szCs w:val="18"/>
          <w:lang w:eastAsia="en-GB"/>
        </w:rPr>
        <w:t>0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6B32A501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</w:t>
      </w:r>
      <w:r w:rsidRPr="007F3B2B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"reg_list"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: [</w:t>
      </w:r>
    </w:p>
    <w:p w14:paraId="10F10DE7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   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"R090891"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0AAF182F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   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"D090332"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7A3F7E90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   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"R061742"</w:t>
      </w: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70E7630E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    </w:t>
      </w:r>
      <w:r w:rsidRPr="007F3B2B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"R061916"</w:t>
      </w:r>
    </w:p>
    <w:p w14:paraId="77CFFCF4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    ]</w:t>
      </w:r>
    </w:p>
    <w:p w14:paraId="01281A00" w14:textId="754BE50F" w:rsid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7F3B2B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},</w:t>
      </w:r>
    </w:p>
    <w:p w14:paraId="7B9F5599" w14:textId="77777777" w:rsidR="007F3B2B" w:rsidRPr="007F3B2B" w:rsidRDefault="007F3B2B" w:rsidP="007F3B2B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</w:p>
    <w:p w14:paraId="39582A5E" w14:textId="3304833C" w:rsidR="007F3B2B" w:rsidRDefault="007F3B2B" w:rsidP="00BE44C9">
      <w:pPr>
        <w:pStyle w:val="Tight"/>
        <w:jc w:val="right"/>
        <w:rPr>
          <w:i/>
          <w:iCs/>
        </w:rPr>
      </w:pPr>
      <w:r>
        <w:rPr>
          <w:i/>
          <w:iCs/>
        </w:rPr>
        <w:t>Example of a config entry for Albania</w:t>
      </w:r>
    </w:p>
    <w:p w14:paraId="0E94AC45" w14:textId="77777777" w:rsidR="003766BB" w:rsidRPr="003766BB" w:rsidRDefault="003766BB" w:rsidP="003766BB">
      <w:pPr>
        <w:pStyle w:val="Tight"/>
      </w:pPr>
    </w:p>
    <w:p w14:paraId="4F2B548F" w14:textId="2B58F3FB" w:rsidR="00BE44C9" w:rsidRPr="005C72D5" w:rsidRDefault="005C72D5" w:rsidP="00E7038A">
      <w:pPr>
        <w:pStyle w:val="Heading4"/>
      </w:pPr>
      <w:r>
        <w:lastRenderedPageBreak/>
        <w:t>Examples of two scenarios related to countries / geographical areas:</w:t>
      </w:r>
    </w:p>
    <w:p w14:paraId="01E2BF86" w14:textId="16E4B2BA" w:rsidR="005C72D5" w:rsidRDefault="005C72D5" w:rsidP="00E7038A">
      <w:pPr>
        <w:pStyle w:val="Heading5"/>
      </w:pPr>
      <w:r>
        <w:t>Terminating all preferential measures related to a geographical area</w:t>
      </w:r>
    </w:p>
    <w:p w14:paraId="5EA94117" w14:textId="4587661A" w:rsidR="005C72D5" w:rsidRPr="005C72D5" w:rsidRDefault="005C72D5" w:rsidP="005C72D5">
      <w:r>
        <w:t>The script below terminates (t) all EU measures related to the country (c) Ceuta and Melilla (which are Spanish exclaves in North Africa).</w:t>
      </w:r>
      <w:r w:rsidR="003766BB">
        <w:t xml:space="preserve"> Termination takes place by end-dating the measures on the day before EU Exit.</w:t>
      </w:r>
    </w:p>
    <w:p w14:paraId="24241274" w14:textId="1E33000D" w:rsidR="005C72D5" w:rsidRPr="005C72D5" w:rsidRDefault="005C72D5" w:rsidP="005C72D5">
      <w:pPr>
        <w:pStyle w:val="Code"/>
      </w:pPr>
      <w:r w:rsidRPr="005C72D5">
        <w:t>python3 migrate_measures.py c t ceutamelilla</w:t>
      </w:r>
    </w:p>
    <w:p w14:paraId="3414DC73" w14:textId="77777777" w:rsidR="005C72D5" w:rsidRDefault="005C72D5" w:rsidP="005C72D5">
      <w:pPr>
        <w:pStyle w:val="Tight"/>
      </w:pPr>
    </w:p>
    <w:p w14:paraId="072BD744" w14:textId="5A78A205" w:rsidR="005C72D5" w:rsidRDefault="005C72D5" w:rsidP="00E7038A">
      <w:pPr>
        <w:pStyle w:val="Heading5"/>
      </w:pPr>
      <w:r>
        <w:t>Migrating all preferential measures related to a geographical area to a new UK regulation</w:t>
      </w:r>
    </w:p>
    <w:p w14:paraId="60EC70F5" w14:textId="5C11A0F6" w:rsidR="005C72D5" w:rsidRPr="005C72D5" w:rsidRDefault="005C72D5" w:rsidP="005C72D5">
      <w:r>
        <w:t>The script below terminates all EU measures related to the country (c) Ceuta and Melilla</w:t>
      </w:r>
      <w:r w:rsidR="003766BB">
        <w:t xml:space="preserve"> on the day before EU Exit</w:t>
      </w:r>
      <w:r>
        <w:t xml:space="preserve"> and restarts (r) them </w:t>
      </w:r>
      <w:r w:rsidR="003766BB">
        <w:t>in the UK tariff on EU Exit day under the UK regulation P1900010.</w:t>
      </w:r>
    </w:p>
    <w:p w14:paraId="71C453F9" w14:textId="5B29A3F8" w:rsidR="005C72D5" w:rsidRPr="005C72D5" w:rsidRDefault="005C72D5" w:rsidP="005C72D5">
      <w:pPr>
        <w:pStyle w:val="Code"/>
      </w:pPr>
      <w:r w:rsidRPr="005C72D5">
        <w:t>python3 migrate_measures.py c r ceutamelilla P190001</w:t>
      </w:r>
      <w:r w:rsidR="003766BB">
        <w:t>0</w:t>
      </w:r>
    </w:p>
    <w:p w14:paraId="74FBA326" w14:textId="77777777" w:rsidR="00393B1A" w:rsidRPr="00393B1A" w:rsidRDefault="00393B1A" w:rsidP="00393B1A">
      <w:pPr>
        <w:pStyle w:val="Tight"/>
      </w:pPr>
    </w:p>
    <w:p w14:paraId="3786F08D" w14:textId="48B22328" w:rsidR="00393B1A" w:rsidRDefault="00393B1A" w:rsidP="00393B1A">
      <w:pPr>
        <w:pStyle w:val="Heading4"/>
      </w:pPr>
      <w:r>
        <w:t>Filenames for terminating</w:t>
      </w:r>
    </w:p>
    <w:p w14:paraId="4EC723B8" w14:textId="77777777" w:rsidR="00393B1A" w:rsidRPr="00393B1A" w:rsidRDefault="00393B1A" w:rsidP="00393B1A">
      <w:pPr>
        <w:pStyle w:val="Code"/>
      </w:pPr>
      <w:r w:rsidRPr="00393B1A">
        <w:t>country_terminate_ceutamelilla.xml</w:t>
      </w:r>
    </w:p>
    <w:p w14:paraId="73AF74BF" w14:textId="77777777" w:rsidR="00393B1A" w:rsidRDefault="00393B1A" w:rsidP="00393B1A">
      <w:pPr>
        <w:pStyle w:val="Tight"/>
      </w:pPr>
    </w:p>
    <w:p w14:paraId="4FE63552" w14:textId="74AEDF0A" w:rsidR="005C72D5" w:rsidRDefault="00393B1A" w:rsidP="00393B1A">
      <w:pPr>
        <w:pStyle w:val="Heading4"/>
      </w:pPr>
      <w:r>
        <w:t>Filenames for restarting</w:t>
      </w:r>
    </w:p>
    <w:p w14:paraId="67E2E6ED" w14:textId="77777777" w:rsidR="00393B1A" w:rsidRPr="00393B1A" w:rsidRDefault="00393B1A" w:rsidP="00393B1A">
      <w:pPr>
        <w:pStyle w:val="Code"/>
      </w:pPr>
      <w:r w:rsidRPr="00393B1A">
        <w:t>country_restart_ceutamelilla</w:t>
      </w:r>
      <w:r>
        <w:t>_</w:t>
      </w:r>
      <w:r w:rsidRPr="00393B1A">
        <w:t>N1234567.xml</w:t>
      </w:r>
    </w:p>
    <w:p w14:paraId="00076D1B" w14:textId="77777777" w:rsidR="00393B1A" w:rsidRPr="00393B1A" w:rsidRDefault="00393B1A" w:rsidP="00393B1A"/>
    <w:p w14:paraId="43177901" w14:textId="6DAA6F57" w:rsidR="00DB35C9" w:rsidRPr="00E7038A" w:rsidRDefault="00DB35C9" w:rsidP="007B0B71">
      <w:pPr>
        <w:pStyle w:val="Heading2"/>
      </w:pPr>
      <w:bookmarkStart w:id="6" w:name="_Toc14587892"/>
      <w:r>
        <w:t>Additional parameters for migrating by measure type</w:t>
      </w:r>
      <w:bookmarkEnd w:id="6"/>
    </w:p>
    <w:p w14:paraId="7689F37A" w14:textId="77777777" w:rsidR="00DB35C9" w:rsidRDefault="00DB35C9" w:rsidP="00DB35C9">
      <w:r>
        <w:t>This route is taken for the following reasons:</w:t>
      </w:r>
    </w:p>
    <w:p w14:paraId="5EF07A8E" w14:textId="0BC7982A" w:rsidR="00DB35C9" w:rsidRDefault="00E7038A" w:rsidP="00DB35C9">
      <w:pPr>
        <w:pStyle w:val="ListBullet"/>
      </w:pPr>
      <w:r>
        <w:t>All measures of a given type or types are to be terminated on the day before EU Exit</w:t>
      </w:r>
    </w:p>
    <w:p w14:paraId="4A9A7380" w14:textId="435BF5DF" w:rsidR="00DB35C9" w:rsidRPr="00D1213E" w:rsidRDefault="00E7038A" w:rsidP="00DB35C9">
      <w:pPr>
        <w:pStyle w:val="ListBullet"/>
      </w:pPr>
      <w:r>
        <w:t>All measures of a given type or types are to be migrated to a new UK regulation on the day of EU Exit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663"/>
        <w:gridCol w:w="1742"/>
        <w:gridCol w:w="6605"/>
      </w:tblGrid>
      <w:tr w:rsidR="00DB35C9" w:rsidRPr="00B829A0" w14:paraId="0F9E3D0F" w14:textId="77777777" w:rsidTr="00374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3" w:type="dxa"/>
          </w:tcPr>
          <w:p w14:paraId="224DCE24" w14:textId="77777777" w:rsidR="00DB35C9" w:rsidRDefault="00DB35C9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1DEA1059" w14:textId="77777777" w:rsidR="00DB35C9" w:rsidRPr="00B829A0" w:rsidRDefault="00DB35C9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Parameter</w:t>
            </w:r>
          </w:p>
        </w:tc>
        <w:tc>
          <w:tcPr>
            <w:tcW w:w="6605" w:type="dxa"/>
          </w:tcPr>
          <w:p w14:paraId="3781F4EF" w14:textId="77777777" w:rsidR="00DB35C9" w:rsidRDefault="00DB35C9" w:rsidP="0037460D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Notes</w:t>
            </w:r>
          </w:p>
        </w:tc>
      </w:tr>
      <w:tr w:rsidR="00DB35C9" w:rsidRPr="00B829A0" w14:paraId="23CF5A6D" w14:textId="77777777" w:rsidTr="0037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44991FD2" w14:textId="77777777" w:rsidR="00DB35C9" w:rsidRDefault="00DB35C9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41669E0B" w14:textId="1CE338EC" w:rsidR="00DB35C9" w:rsidRPr="00B829A0" w:rsidRDefault="00E7038A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Measure type string</w:t>
            </w:r>
          </w:p>
        </w:tc>
        <w:tc>
          <w:tcPr>
            <w:tcW w:w="6605" w:type="dxa"/>
          </w:tcPr>
          <w:p w14:paraId="16DF3F01" w14:textId="77777777" w:rsidR="00DB35C9" w:rsidRDefault="00CD1C02" w:rsidP="0037460D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The measure type or types that are to be migrated</w:t>
            </w:r>
          </w:p>
          <w:p w14:paraId="379B7711" w14:textId="77777777" w:rsidR="00CD1C02" w:rsidRDefault="00CD1C02" w:rsidP="0037460D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The measure types may be specified either as a string which is a shortcut for multiple measure types or as a single measure type ID.</w:t>
            </w:r>
          </w:p>
          <w:p w14:paraId="2C78728D" w14:textId="593248A2" w:rsidR="00CD1C02" w:rsidRDefault="00CD1C02" w:rsidP="00CD1C02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The table below this table identifies the measure types that are included in measure profile strings and below that, there are examples showing some of these in use</w:t>
            </w:r>
          </w:p>
        </w:tc>
      </w:tr>
      <w:tr w:rsidR="00DB35C9" w:rsidRPr="00B829A0" w14:paraId="6ABB281A" w14:textId="77777777" w:rsidTr="003746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64CCBAD9" w14:textId="77777777" w:rsidR="00DB35C9" w:rsidRDefault="00DB35C9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1D28F9F7" w14:textId="1CAD5E9B" w:rsidR="00DB35C9" w:rsidRPr="00B829A0" w:rsidRDefault="00E7038A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Future regulation string</w:t>
            </w:r>
          </w:p>
        </w:tc>
        <w:tc>
          <w:tcPr>
            <w:tcW w:w="6605" w:type="dxa"/>
          </w:tcPr>
          <w:p w14:paraId="768D1EA2" w14:textId="77777777" w:rsidR="00CD1C02" w:rsidRDefault="00CD1C02" w:rsidP="00CD1C02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In which the UK regulation that will house these measures is captured.</w:t>
            </w:r>
          </w:p>
          <w:p w14:paraId="4B17CA5D" w14:textId="1EDD29E9" w:rsidR="00DB35C9" w:rsidRDefault="00CD1C02" w:rsidP="00CD1C02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This is only required if the measures identified are to be carried over into the UK tariff</w:t>
            </w:r>
          </w:p>
        </w:tc>
      </w:tr>
    </w:tbl>
    <w:p w14:paraId="3F08CBCF" w14:textId="4F7F9CB1" w:rsidR="007F3B2B" w:rsidRDefault="007F3B2B"/>
    <w:tbl>
      <w:tblPr>
        <w:tblStyle w:val="ListTable3"/>
        <w:tblW w:w="0" w:type="auto"/>
        <w:tblLook w:val="0020" w:firstRow="1" w:lastRow="0" w:firstColumn="0" w:lastColumn="0" w:noHBand="0" w:noVBand="0"/>
      </w:tblPr>
      <w:tblGrid>
        <w:gridCol w:w="2122"/>
        <w:gridCol w:w="6888"/>
      </w:tblGrid>
      <w:tr w:rsidR="00CD1C02" w:rsidRPr="00CD1C02" w14:paraId="54A83178" w14:textId="495757FD" w:rsidTr="005E2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43BA1443" w14:textId="4D8C4038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lastRenderedPageBreak/>
              <w:t>Profile</w:t>
            </w:r>
          </w:p>
        </w:tc>
        <w:tc>
          <w:tcPr>
            <w:tcW w:w="6888" w:type="dxa"/>
          </w:tcPr>
          <w:p w14:paraId="36D767E4" w14:textId="77777777" w:rsidR="00CD1C02" w:rsidRPr="00CD1C02" w:rsidRDefault="00CD1C02" w:rsidP="00CD1C02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D1C02" w:rsidRPr="00CD1C02" w14:paraId="19FFDF39" w14:textId="00B96DA6" w:rsidTr="005E2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0983DA8E" w14:textId="5DE89D42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credibility</w:t>
            </w:r>
          </w:p>
          <w:p w14:paraId="6841F082" w14:textId="77777777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credibilitychecks</w:t>
            </w:r>
          </w:p>
          <w:p w14:paraId="733A2DE7" w14:textId="44B48F42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cred</w:t>
            </w:r>
          </w:p>
        </w:tc>
        <w:tc>
          <w:tcPr>
            <w:tcW w:w="6888" w:type="dxa"/>
          </w:tcPr>
          <w:p w14:paraId="4E0ADEE5" w14:textId="77777777" w:rsidR="00CD1C02" w:rsidRDefault="00CD1C02" w:rsidP="00CD1C02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All credibility check measures:</w:t>
            </w:r>
          </w:p>
          <w:p w14:paraId="13ABA9FD" w14:textId="5B2D906D" w:rsidR="00CD1C02" w:rsidRDefault="00CD1C02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430 – </w:t>
            </w:r>
            <w:r w:rsidR="00822FD1" w:rsidRPr="00822FD1">
              <w:rPr>
                <w:noProof/>
              </w:rPr>
              <w:t>Control of particulars of the declaration (suspicious value/net weight or value/supplementary unit)</w:t>
            </w:r>
          </w:p>
          <w:p w14:paraId="2562E0DF" w14:textId="69083DB7" w:rsidR="00CD1C02" w:rsidRDefault="00CD1C02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431 – </w:t>
            </w:r>
            <w:r w:rsidR="00822FD1" w:rsidRPr="00822FD1">
              <w:rPr>
                <w:noProof/>
              </w:rPr>
              <w:t>Control of particulars of the declaration (suspicious net weight/supplementary unit)</w:t>
            </w:r>
          </w:p>
          <w:p w14:paraId="0320A77B" w14:textId="20480BBF" w:rsidR="00CD1C02" w:rsidRDefault="00CD1C02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485 – </w:t>
            </w:r>
            <w:r w:rsidR="00822FD1" w:rsidRPr="00822FD1">
              <w:rPr>
                <w:noProof/>
              </w:rPr>
              <w:t>Declaration of subheading submitted to restrictions (export)</w:t>
            </w:r>
          </w:p>
          <w:p w14:paraId="3C2925DD" w14:textId="659AFEAB" w:rsidR="00CD1C02" w:rsidRDefault="00CD1C02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481 – </w:t>
            </w:r>
            <w:r w:rsidR="00822FD1" w:rsidRPr="00822FD1">
              <w:rPr>
                <w:noProof/>
              </w:rPr>
              <w:t>Declaration of subheading submitted to restrictions (import)</w:t>
            </w:r>
          </w:p>
          <w:p w14:paraId="3EC937CD" w14:textId="76F2DCD1" w:rsidR="00CD1C02" w:rsidRDefault="00CD1C02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482 – </w:t>
            </w:r>
            <w:r w:rsidR="00822FD1" w:rsidRPr="00822FD1">
              <w:rPr>
                <w:noProof/>
              </w:rPr>
              <w:t>Declaration of subheading submitted to restrictions (net weight/supplementary unit)</w:t>
            </w:r>
          </w:p>
          <w:p w14:paraId="64B02848" w14:textId="6E80AC62" w:rsidR="00CD1C02" w:rsidRPr="00CD1C02" w:rsidRDefault="00CD1C02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483 – </w:t>
            </w:r>
            <w:r w:rsidR="00822FD1" w:rsidRPr="00822FD1">
              <w:rPr>
                <w:noProof/>
              </w:rPr>
              <w:t>Declaration of subheading submitted to restrictions (value)</w:t>
            </w:r>
          </w:p>
        </w:tc>
      </w:tr>
      <w:tr w:rsidR="00CD1C02" w:rsidRPr="00CD1C02" w14:paraId="6FAE294B" w14:textId="55064E16" w:rsidTr="005E2A1B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215132C3" w14:textId="43152D18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supp</w:t>
            </w:r>
          </w:p>
          <w:p w14:paraId="4A25DE00" w14:textId="77777777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supplementaryunits</w:t>
            </w:r>
          </w:p>
          <w:p w14:paraId="57B25686" w14:textId="3A6830D3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sup</w:t>
            </w:r>
          </w:p>
        </w:tc>
        <w:tc>
          <w:tcPr>
            <w:tcW w:w="6888" w:type="dxa"/>
          </w:tcPr>
          <w:p w14:paraId="2ADA07EC" w14:textId="50BD2F9B" w:rsidR="00CD1C02" w:rsidRDefault="005E2A1B" w:rsidP="00CD1C02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All supplementary unit measures:</w:t>
            </w:r>
          </w:p>
          <w:p w14:paraId="43BD3B38" w14:textId="68CB68D7" w:rsidR="00CD1C02" w:rsidRDefault="00822FD1" w:rsidP="00822FD1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109 – </w:t>
            </w:r>
            <w:r w:rsidRPr="00822FD1">
              <w:rPr>
                <w:noProof/>
              </w:rPr>
              <w:t>Supplementary unit</w:t>
            </w:r>
          </w:p>
          <w:p w14:paraId="6DEE97ED" w14:textId="2778BD6F" w:rsidR="00822FD1" w:rsidRPr="00CD1C02" w:rsidRDefault="00822FD1" w:rsidP="00822FD1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110 –</w:t>
            </w:r>
            <w:r>
              <w:t xml:space="preserve"> </w:t>
            </w:r>
            <w:r w:rsidRPr="00822FD1">
              <w:rPr>
                <w:noProof/>
              </w:rPr>
              <w:t>Supplementary unit import</w:t>
            </w:r>
          </w:p>
        </w:tc>
      </w:tr>
      <w:tr w:rsidR="00CD1C02" w:rsidRPr="00CD1C02" w14:paraId="7DD2674D" w14:textId="75475B8D" w:rsidTr="005E2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5F0CB8DF" w14:textId="061D25C5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quota</w:t>
            </w:r>
          </w:p>
          <w:p w14:paraId="6F3B19A2" w14:textId="66CCEF7F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quotas</w:t>
            </w:r>
          </w:p>
          <w:p w14:paraId="27A79CBA" w14:textId="4FA7B0EB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wto_quotas</w:t>
            </w:r>
          </w:p>
          <w:p w14:paraId="4F0C9FF8" w14:textId="11348A3A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wto</w:t>
            </w:r>
          </w:p>
          <w:p w14:paraId="772C6959" w14:textId="02389083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q</w:t>
            </w:r>
          </w:p>
        </w:tc>
        <w:tc>
          <w:tcPr>
            <w:tcW w:w="6888" w:type="dxa"/>
          </w:tcPr>
          <w:p w14:paraId="75430014" w14:textId="0B5B9E6D" w:rsidR="00CD1C02" w:rsidRDefault="005E2A1B" w:rsidP="00CD1C02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All quota measures:</w:t>
            </w:r>
          </w:p>
          <w:p w14:paraId="24E7F799" w14:textId="7BADDD85" w:rsidR="00CD1C02" w:rsidRDefault="00822FD1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122 – </w:t>
            </w:r>
            <w:r w:rsidRPr="00822FD1">
              <w:rPr>
                <w:noProof/>
              </w:rPr>
              <w:t>Non preferential tariff quota</w:t>
            </w:r>
          </w:p>
          <w:p w14:paraId="5A24CA80" w14:textId="0C6D4575" w:rsidR="00822FD1" w:rsidRDefault="00822FD1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123 – </w:t>
            </w:r>
            <w:r w:rsidRPr="00822FD1">
              <w:rPr>
                <w:noProof/>
              </w:rPr>
              <w:t>Non preferential tariff quota under end-use</w:t>
            </w:r>
          </w:p>
          <w:p w14:paraId="36D0766A" w14:textId="5A28C152" w:rsidR="00822FD1" w:rsidRDefault="00822FD1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653 – </w:t>
            </w:r>
            <w:r w:rsidRPr="00822FD1">
              <w:rPr>
                <w:noProof/>
              </w:rPr>
              <w:t>Security based on representative price, reduced under the benefit of a tariff quota</w:t>
            </w:r>
          </w:p>
          <w:p w14:paraId="4D90252F" w14:textId="11ED7695" w:rsidR="00822FD1" w:rsidRPr="00CD1C02" w:rsidRDefault="00822FD1" w:rsidP="00822FD1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654 –</w:t>
            </w:r>
            <w:r>
              <w:t xml:space="preserve"> </w:t>
            </w:r>
            <w:r w:rsidRPr="00822FD1">
              <w:rPr>
                <w:noProof/>
              </w:rPr>
              <w:t>Additional duty based on CIF price, reduced under the benefit of a tariff quota</w:t>
            </w:r>
          </w:p>
        </w:tc>
      </w:tr>
      <w:tr w:rsidR="00CD1C02" w:rsidRPr="00CD1C02" w14:paraId="0A6EDD04" w14:textId="2DEF6ABF" w:rsidTr="005E2A1B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6D84604A" w14:textId="273EB97B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mfn</w:t>
            </w:r>
          </w:p>
        </w:tc>
        <w:tc>
          <w:tcPr>
            <w:tcW w:w="6888" w:type="dxa"/>
          </w:tcPr>
          <w:p w14:paraId="54C5D9FC" w14:textId="05FD99A9" w:rsidR="00CD1C02" w:rsidRDefault="005E2A1B" w:rsidP="00CD1C02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All MFN measures:</w:t>
            </w:r>
          </w:p>
          <w:p w14:paraId="048EDC8D" w14:textId="01800039" w:rsidR="00CD1C02" w:rsidRDefault="00822FD1" w:rsidP="00822FD1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103 – </w:t>
            </w:r>
            <w:r w:rsidRPr="00822FD1">
              <w:rPr>
                <w:noProof/>
              </w:rPr>
              <w:t>Third country duty</w:t>
            </w:r>
          </w:p>
          <w:p w14:paraId="54DEDFBA" w14:textId="2FEDED6E" w:rsidR="00822FD1" w:rsidRPr="00CD1C02" w:rsidRDefault="00822FD1" w:rsidP="00822FD1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105 – </w:t>
            </w:r>
            <w:r w:rsidRPr="00822FD1">
              <w:rPr>
                <w:noProof/>
              </w:rPr>
              <w:t>Non preferential duty under end-use</w:t>
            </w:r>
          </w:p>
        </w:tc>
      </w:tr>
      <w:tr w:rsidR="00CD1C02" w:rsidRPr="00CD1C02" w14:paraId="48BD6D73" w14:textId="0539C135" w:rsidTr="005E2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1BC955AD" w14:textId="15E87CD5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suspension</w:t>
            </w:r>
          </w:p>
          <w:p w14:paraId="17AAAB78" w14:textId="0B858198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suspensions</w:t>
            </w:r>
          </w:p>
          <w:p w14:paraId="5D0CA25B" w14:textId="11843324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susp</w:t>
            </w:r>
          </w:p>
        </w:tc>
        <w:tc>
          <w:tcPr>
            <w:tcW w:w="6888" w:type="dxa"/>
          </w:tcPr>
          <w:p w14:paraId="05F7818C" w14:textId="15F012E1" w:rsidR="00CD1C02" w:rsidRDefault="005E2A1B" w:rsidP="00CD1C02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All suspension measures:</w:t>
            </w:r>
          </w:p>
          <w:p w14:paraId="7CEEA9FE" w14:textId="6934F9ED" w:rsidR="00CD1C02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112 – </w:t>
            </w:r>
            <w:r w:rsidR="005E2A1B" w:rsidRPr="005E2A1B">
              <w:rPr>
                <w:noProof/>
              </w:rPr>
              <w:t>Autonomous tariff suspension</w:t>
            </w:r>
          </w:p>
          <w:p w14:paraId="01174350" w14:textId="437433AB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115 – </w:t>
            </w:r>
            <w:r w:rsidR="005E2A1B" w:rsidRPr="005E2A1B">
              <w:rPr>
                <w:noProof/>
              </w:rPr>
              <w:t>Autonomous suspension under end-use</w:t>
            </w:r>
          </w:p>
          <w:p w14:paraId="6C507A15" w14:textId="36F4B0B1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117 – </w:t>
            </w:r>
            <w:r w:rsidR="005E2A1B" w:rsidRPr="005E2A1B">
              <w:rPr>
                <w:noProof/>
              </w:rPr>
              <w:t>Suspension - goods for certain categories of ships, boats and other vessels and for drilling or production platforms</w:t>
            </w:r>
          </w:p>
          <w:p w14:paraId="71AABD10" w14:textId="5B2A8F74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119 – </w:t>
            </w:r>
            <w:r w:rsidR="005E2A1B" w:rsidRPr="005E2A1B">
              <w:rPr>
                <w:noProof/>
              </w:rPr>
              <w:t>Airworthiness tariff suspension</w:t>
            </w:r>
          </w:p>
          <w:p w14:paraId="13B5D18B" w14:textId="27D3975C" w:rsidR="00822FD1" w:rsidRPr="00CD1C02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141 – </w:t>
            </w:r>
            <w:r w:rsidR="005E2A1B" w:rsidRPr="005E2A1B">
              <w:rPr>
                <w:noProof/>
              </w:rPr>
              <w:t>Preferential suspension</w:t>
            </w:r>
          </w:p>
        </w:tc>
      </w:tr>
      <w:tr w:rsidR="00CD1C02" w:rsidRPr="00CD1C02" w14:paraId="5BBC048A" w14:textId="41347951" w:rsidTr="005E2A1B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42BEDED4" w14:textId="2F7745C1" w:rsid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surveillance</w:t>
            </w:r>
          </w:p>
          <w:p w14:paraId="760FEB1F" w14:textId="33DD1016" w:rsidR="00CD1C02" w:rsidRPr="00CD1C02" w:rsidRDefault="00CD1C02" w:rsidP="00CD1C02">
            <w:pPr>
              <w:pStyle w:val="NormalinTable"/>
              <w:rPr>
                <w:noProof/>
              </w:rPr>
            </w:pPr>
            <w:r w:rsidRPr="00CD1C02">
              <w:rPr>
                <w:noProof/>
              </w:rPr>
              <w:t>surv</w:t>
            </w:r>
          </w:p>
        </w:tc>
        <w:tc>
          <w:tcPr>
            <w:tcW w:w="6888" w:type="dxa"/>
          </w:tcPr>
          <w:p w14:paraId="1FE34699" w14:textId="77955A3B" w:rsidR="00CD1C02" w:rsidRDefault="005E2A1B" w:rsidP="00CD1C02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All surveillance measures:</w:t>
            </w:r>
          </w:p>
          <w:p w14:paraId="33D85829" w14:textId="6CAF7B88" w:rsidR="00CD1C02" w:rsidRDefault="00822FD1" w:rsidP="005E2A1B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442 – </w:t>
            </w:r>
            <w:r w:rsidR="005E2A1B" w:rsidRPr="005E2A1B">
              <w:rPr>
                <w:noProof/>
              </w:rPr>
              <w:t>Confidential Import Monitoring</w:t>
            </w:r>
          </w:p>
          <w:p w14:paraId="151EFEA2" w14:textId="05608F0E" w:rsidR="00822FD1" w:rsidRPr="00CD1C02" w:rsidRDefault="00822FD1" w:rsidP="005E2A1B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447 – </w:t>
            </w:r>
            <w:r w:rsidR="005E2A1B" w:rsidRPr="005E2A1B">
              <w:rPr>
                <w:noProof/>
              </w:rPr>
              <w:t>Confidential Export Monitoring</w:t>
            </w:r>
          </w:p>
        </w:tc>
      </w:tr>
      <w:tr w:rsidR="00CD1C02" w:rsidRPr="00CD1C02" w14:paraId="31FCAAA1" w14:textId="77777777" w:rsidTr="005E2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1D616E50" w14:textId="0E6F8D25" w:rsidR="00CD1C02" w:rsidRPr="00CD1C02" w:rsidRDefault="00822FD1" w:rsidP="00CD1C02">
            <w:pPr>
              <w:pStyle w:val="NormalinTable"/>
              <w:rPr>
                <w:noProof/>
              </w:rPr>
            </w:pPr>
            <w:r>
              <w:rPr>
                <w:noProof/>
              </w:rPr>
              <w:lastRenderedPageBreak/>
              <w:t>agri</w:t>
            </w:r>
          </w:p>
        </w:tc>
        <w:tc>
          <w:tcPr>
            <w:tcW w:w="6888" w:type="dxa"/>
          </w:tcPr>
          <w:p w14:paraId="14288E51" w14:textId="5A039D07" w:rsidR="00CD1C02" w:rsidRDefault="005E2A1B" w:rsidP="00CD1C02">
            <w:pPr>
              <w:pStyle w:val="Normal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All special agricultural safeguard measures</w:t>
            </w:r>
          </w:p>
          <w:p w14:paraId="49580C1C" w14:textId="7E60B2FB" w:rsidR="005E2A1B" w:rsidRDefault="005E2A1B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488 – </w:t>
            </w:r>
            <w:r w:rsidRPr="005E2A1B">
              <w:rPr>
                <w:noProof/>
              </w:rPr>
              <w:t>Unit price</w:t>
            </w:r>
          </w:p>
          <w:p w14:paraId="044D31B4" w14:textId="1333E800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489 – </w:t>
            </w:r>
            <w:r w:rsidR="005E2A1B" w:rsidRPr="005E2A1B">
              <w:rPr>
                <w:noProof/>
              </w:rPr>
              <w:t>Representative price</w:t>
            </w:r>
          </w:p>
          <w:p w14:paraId="45BF9954" w14:textId="5D0BAF7C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490 – </w:t>
            </w:r>
            <w:r w:rsidR="005E2A1B" w:rsidRPr="005E2A1B">
              <w:rPr>
                <w:noProof/>
              </w:rPr>
              <w:t>Standard import value</w:t>
            </w:r>
          </w:p>
          <w:p w14:paraId="2EAEB1D7" w14:textId="30DBD487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651 – </w:t>
            </w:r>
            <w:r w:rsidR="005E2A1B" w:rsidRPr="005E2A1B">
              <w:rPr>
                <w:noProof/>
              </w:rPr>
              <w:t>Security based on representative price</w:t>
            </w:r>
          </w:p>
          <w:p w14:paraId="33AD381D" w14:textId="09ADBE61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652 – </w:t>
            </w:r>
            <w:r w:rsidR="005E2A1B" w:rsidRPr="005E2A1B">
              <w:rPr>
                <w:noProof/>
              </w:rPr>
              <w:t>Additional duty based on cif price</w:t>
            </w:r>
          </w:p>
          <w:p w14:paraId="6582A29D" w14:textId="3DC93244" w:rsidR="00822FD1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653 – </w:t>
            </w:r>
            <w:r w:rsidR="005E2A1B" w:rsidRPr="005E2A1B">
              <w:rPr>
                <w:noProof/>
              </w:rPr>
              <w:t>Security based on representative price, reduced under the benefit of a tariff quota</w:t>
            </w:r>
          </w:p>
          <w:p w14:paraId="3DD1BAEB" w14:textId="0DD75379" w:rsidR="00822FD1" w:rsidRPr="00CD1C02" w:rsidRDefault="00822FD1" w:rsidP="005E2A1B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654 – </w:t>
            </w:r>
            <w:r w:rsidR="005E2A1B" w:rsidRPr="005E2A1B">
              <w:rPr>
                <w:noProof/>
              </w:rPr>
              <w:t>Additional duty based on CIF price, reduced under the benefit of a tariff quota</w:t>
            </w:r>
          </w:p>
        </w:tc>
      </w:tr>
      <w:tr w:rsidR="005E2A1B" w:rsidRPr="00CD1C02" w14:paraId="02D1C2CA" w14:textId="77777777" w:rsidTr="005E2A1B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2" w:type="dxa"/>
          </w:tcPr>
          <w:p w14:paraId="646E14FA" w14:textId="439A9BAD" w:rsidR="005E2A1B" w:rsidRDefault="005E2A1B" w:rsidP="00CD1C02">
            <w:pPr>
              <w:pStyle w:val="NormalinTable"/>
              <w:rPr>
                <w:noProof/>
              </w:rPr>
            </w:pPr>
            <w:r>
              <w:rPr>
                <w:noProof/>
              </w:rPr>
              <w:t>489</w:t>
            </w:r>
          </w:p>
        </w:tc>
        <w:tc>
          <w:tcPr>
            <w:tcW w:w="6888" w:type="dxa"/>
          </w:tcPr>
          <w:p w14:paraId="6E27AAD6" w14:textId="2EECB50D" w:rsidR="005E2A1B" w:rsidRDefault="005E2A1B" w:rsidP="00CD1C02">
            <w:pPr>
              <w:pStyle w:val="Normal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Just measure type 489</w:t>
            </w:r>
          </w:p>
        </w:tc>
      </w:tr>
    </w:tbl>
    <w:p w14:paraId="700C44A6" w14:textId="21B29017" w:rsidR="00D2424B" w:rsidRDefault="00D2424B" w:rsidP="00D2424B">
      <w:pPr>
        <w:pStyle w:val="Tight"/>
      </w:pPr>
    </w:p>
    <w:p w14:paraId="5A4E7887" w14:textId="65A4597B" w:rsidR="00D2424B" w:rsidRDefault="00D2424B" w:rsidP="007B0B71">
      <w:pPr>
        <w:pStyle w:val="Heading3"/>
      </w:pPr>
      <w:r>
        <w:t>Examples of migrating by measure type</w:t>
      </w:r>
    </w:p>
    <w:p w14:paraId="5C839BE0" w14:textId="7B2DFD5E" w:rsidR="00D2424B" w:rsidRDefault="00D2424B" w:rsidP="00D2424B">
      <w:pPr>
        <w:pStyle w:val="Tight"/>
      </w:pPr>
      <w:r>
        <w:t xml:space="preserve">To </w:t>
      </w:r>
      <w:r w:rsidR="001873BA">
        <w:t>terminate all credibility check measures (t for terminate)</w:t>
      </w:r>
    </w:p>
    <w:p w14:paraId="5240A725" w14:textId="4A22A27F" w:rsidR="00D2424B" w:rsidRDefault="00D2424B" w:rsidP="00D2424B">
      <w:pPr>
        <w:pStyle w:val="Code"/>
      </w:pPr>
      <w:r>
        <w:t>python3 migrate_measures.py m t cred</w:t>
      </w:r>
    </w:p>
    <w:p w14:paraId="1F2E08FB" w14:textId="383D3989" w:rsidR="00D2424B" w:rsidRDefault="001873BA" w:rsidP="00D2424B">
      <w:pPr>
        <w:pStyle w:val="Tight"/>
      </w:pPr>
      <w:r>
        <w:br/>
      </w:r>
      <w:r w:rsidR="00D2424B">
        <w:t>To</w:t>
      </w:r>
      <w:r>
        <w:t xml:space="preserve"> migrate all supplementary unit measures to a new UK regulation (r for restart)</w:t>
      </w:r>
    </w:p>
    <w:p w14:paraId="155910CF" w14:textId="088631B8" w:rsidR="00D2424B" w:rsidRDefault="00D2424B" w:rsidP="00D2424B">
      <w:pPr>
        <w:pStyle w:val="Code"/>
      </w:pPr>
      <w:r>
        <w:t>python3 migrate_measures.py m r supp I1900010</w:t>
      </w:r>
    </w:p>
    <w:p w14:paraId="710C8B18" w14:textId="258EB4FB" w:rsidR="00D2424B" w:rsidRDefault="001873BA" w:rsidP="00D2424B">
      <w:pPr>
        <w:pStyle w:val="Tight"/>
      </w:pPr>
      <w:r>
        <w:br/>
      </w:r>
      <w:r w:rsidR="00D2424B">
        <w:t>To</w:t>
      </w:r>
      <w:r>
        <w:t xml:space="preserve"> terminate all surveillance measures (t for terminate)</w:t>
      </w:r>
    </w:p>
    <w:p w14:paraId="6D09BF17" w14:textId="5F3CBE08" w:rsidR="00D2424B" w:rsidRPr="00D2424B" w:rsidRDefault="001873BA" w:rsidP="00D2424B">
      <w:pPr>
        <w:pStyle w:val="Code"/>
      </w:pPr>
      <w:r w:rsidRPr="001873BA">
        <w:t>python3 migrate_measures.py m t surv</w:t>
      </w:r>
    </w:p>
    <w:p w14:paraId="1AEAEFAC" w14:textId="77777777" w:rsidR="00B12A5F" w:rsidRDefault="00B12A5F" w:rsidP="00B12A5F">
      <w:pPr>
        <w:pStyle w:val="Tight"/>
      </w:pPr>
    </w:p>
    <w:p w14:paraId="0F994540" w14:textId="69EDB90C" w:rsidR="0095335E" w:rsidRDefault="00B12A5F" w:rsidP="007B0B71">
      <w:pPr>
        <w:pStyle w:val="Heading3"/>
      </w:pPr>
      <w:r>
        <w:t>Naming convention for migrating by measure type</w:t>
      </w:r>
      <w:r w:rsidR="00F02501">
        <w:t xml:space="preserve"> - terminating</w:t>
      </w:r>
    </w:p>
    <w:p w14:paraId="50189001" w14:textId="47D05552" w:rsidR="00B12A5F" w:rsidRDefault="00B12A5F" w:rsidP="00B12A5F">
      <w:r>
        <w:t>For measures that are being terminated:</w:t>
      </w:r>
    </w:p>
    <w:p w14:paraId="6022BF12" w14:textId="77777777" w:rsidR="00B12A5F" w:rsidRDefault="00B12A5F" w:rsidP="00B12A5F">
      <w:pPr>
        <w:pStyle w:val="Code"/>
      </w:pPr>
      <w:r w:rsidRPr="00B12A5F">
        <w:t>measuretypes_end_mfn_2019-07-21.xml</w:t>
      </w:r>
    </w:p>
    <w:p w14:paraId="2DB7383C" w14:textId="30090449" w:rsidR="00B12A5F" w:rsidRDefault="00B12A5F" w:rsidP="00B12A5F">
      <w:r>
        <w:t>where "</w:t>
      </w:r>
      <w:proofErr w:type="spellStart"/>
      <w:r>
        <w:t>mfn</w:t>
      </w:r>
      <w:proofErr w:type="spellEnd"/>
      <w:r>
        <w:t>" is the shortcut for the measure types being terminated</w:t>
      </w:r>
    </w:p>
    <w:p w14:paraId="51377A56" w14:textId="5676B384" w:rsidR="00F02501" w:rsidRDefault="00F02501" w:rsidP="007B0B71">
      <w:pPr>
        <w:pStyle w:val="Heading3"/>
      </w:pPr>
      <w:r>
        <w:t xml:space="preserve">Naming convention for migrating by measure type - </w:t>
      </w:r>
      <w:r>
        <w:t>restarting</w:t>
      </w:r>
    </w:p>
    <w:p w14:paraId="7081A5DF" w14:textId="64F629D4" w:rsidR="00B12A5F" w:rsidRDefault="00B12A5F" w:rsidP="00B12A5F">
      <w:r>
        <w:t>For measures that are being restarted after EU Exit:</w:t>
      </w:r>
    </w:p>
    <w:p w14:paraId="3588451E" w14:textId="5C315352" w:rsidR="00B12A5F" w:rsidRDefault="00B12A5F" w:rsidP="00B12A5F">
      <w:pPr>
        <w:pStyle w:val="Code"/>
      </w:pPr>
      <w:r w:rsidRPr="00B12A5F">
        <w:t>measuretypes_end_supp_new_regulation_I1900010_2019-07-21.xml</w:t>
      </w:r>
    </w:p>
    <w:p w14:paraId="6B566244" w14:textId="7E37E97D" w:rsidR="00B12A5F" w:rsidRPr="00B12A5F" w:rsidRDefault="00B12A5F" w:rsidP="00B12A5F">
      <w:r>
        <w:t>where "supp" is a shortcut for the measure</w:t>
      </w:r>
      <w:r w:rsidR="00E91471">
        <w:t xml:space="preserve"> type</w:t>
      </w:r>
      <w:r>
        <w:t>s being</w:t>
      </w:r>
      <w:r w:rsidR="00E91471">
        <w:t xml:space="preserve"> migrated and I1900010 is the regulation to which the measures are being migrated.</w:t>
      </w:r>
    </w:p>
    <w:p w14:paraId="3AA7E8EF" w14:textId="77777777" w:rsidR="007B0B71" w:rsidRDefault="007B0B71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1FE5B2" w14:textId="2612CF50" w:rsidR="0095335E" w:rsidRPr="00E7038A" w:rsidRDefault="0095335E" w:rsidP="007B0B71">
      <w:pPr>
        <w:pStyle w:val="Heading2"/>
      </w:pPr>
      <w:bookmarkStart w:id="7" w:name="_Toc14587893"/>
      <w:r>
        <w:lastRenderedPageBreak/>
        <w:t>Additional parameters for migrating by regulation</w:t>
      </w:r>
      <w:bookmarkEnd w:id="7"/>
    </w:p>
    <w:p w14:paraId="29BBE5CF" w14:textId="77777777" w:rsidR="0095335E" w:rsidRDefault="0095335E" w:rsidP="0095335E">
      <w:r>
        <w:t>This route is taken for the following reasons:</w:t>
      </w:r>
    </w:p>
    <w:p w14:paraId="54EF5E75" w14:textId="71DB51C9" w:rsidR="0095335E" w:rsidRDefault="0095335E" w:rsidP="0095335E">
      <w:pPr>
        <w:pStyle w:val="ListBullet"/>
      </w:pPr>
      <w:r>
        <w:t>All measures of a given regulation are to be terminated</w:t>
      </w:r>
    </w:p>
    <w:p w14:paraId="05DD7D9D" w14:textId="280E4DE4" w:rsidR="0095335E" w:rsidRPr="00D1213E" w:rsidRDefault="0095335E" w:rsidP="0095335E">
      <w:pPr>
        <w:pStyle w:val="ListBullet"/>
      </w:pPr>
      <w:r>
        <w:t>All measures of a given regulation are to be migrated to a new UK regulation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663"/>
        <w:gridCol w:w="1742"/>
        <w:gridCol w:w="6605"/>
      </w:tblGrid>
      <w:tr w:rsidR="0095335E" w:rsidRPr="00B829A0" w14:paraId="4EC9A5F2" w14:textId="77777777" w:rsidTr="0049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3" w:type="dxa"/>
          </w:tcPr>
          <w:p w14:paraId="7E07A051" w14:textId="77777777" w:rsidR="0095335E" w:rsidRDefault="0095335E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059E4043" w14:textId="77777777" w:rsidR="0095335E" w:rsidRPr="00B829A0" w:rsidRDefault="0095335E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Parameter</w:t>
            </w:r>
          </w:p>
        </w:tc>
        <w:tc>
          <w:tcPr>
            <w:tcW w:w="6605" w:type="dxa"/>
          </w:tcPr>
          <w:p w14:paraId="2313EF22" w14:textId="77777777" w:rsidR="0095335E" w:rsidRDefault="0095335E" w:rsidP="0037460D"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Notes</w:t>
            </w:r>
          </w:p>
        </w:tc>
      </w:tr>
      <w:tr w:rsidR="0095335E" w:rsidRPr="00B829A0" w14:paraId="4F6CD95D" w14:textId="77777777" w:rsidTr="00374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28F01067" w14:textId="77777777" w:rsidR="0095335E" w:rsidRDefault="0095335E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1CB210F1" w14:textId="52EFC1C2" w:rsidR="0095335E" w:rsidRPr="00B829A0" w:rsidRDefault="00B57382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Regulation identifier (to migrate from)</w:t>
            </w:r>
          </w:p>
        </w:tc>
        <w:tc>
          <w:tcPr>
            <w:tcW w:w="6605" w:type="dxa"/>
          </w:tcPr>
          <w:p w14:paraId="62F4C4AB" w14:textId="77777777" w:rsidR="0095335E" w:rsidRDefault="00B57382" w:rsidP="0037460D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 xml:space="preserve">The 8-digit </w:t>
            </w:r>
            <w:r>
              <w:rPr>
                <w:b/>
                <w:bCs/>
                <w:lang w:eastAsia="en-GB"/>
              </w:rPr>
              <w:t>or 7-digit</w:t>
            </w:r>
            <w:r>
              <w:rPr>
                <w:lang w:eastAsia="en-GB"/>
              </w:rPr>
              <w:t xml:space="preserve"> identifier of the EU regulation from which to migrate</w:t>
            </w:r>
          </w:p>
          <w:p w14:paraId="24239A71" w14:textId="77777777" w:rsidR="00B57382" w:rsidRDefault="00B57382" w:rsidP="0037460D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If the regulation is 7-digits, then the script takes all regulations where the first 7 characters match: the final character is a document part identifier, and we typically want to migrate all parts together – there can be up to 15 document parts historically</w:t>
            </w:r>
          </w:p>
          <w:p w14:paraId="04B28389" w14:textId="7A677515" w:rsidR="00493709" w:rsidRDefault="00B57382" w:rsidP="00493709">
            <w:pPr>
              <w:pStyle w:val="ListBulleti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In addition, it is possible to specif</w:t>
            </w:r>
            <w:r w:rsidR="00493709">
              <w:rPr>
                <w:lang w:eastAsia="en-GB"/>
              </w:rPr>
              <w:t xml:space="preserve">y a </w:t>
            </w:r>
            <w:r w:rsidR="00493709">
              <w:rPr>
                <w:b/>
                <w:bCs/>
                <w:lang w:eastAsia="en-GB"/>
              </w:rPr>
              <w:t>profile</w:t>
            </w:r>
            <w:r w:rsidR="00493709" w:rsidRPr="00493709">
              <w:rPr>
                <w:lang w:eastAsia="en-GB"/>
              </w:rPr>
              <w:t>, so that mu</w:t>
            </w:r>
            <w:r w:rsidR="00493709">
              <w:rPr>
                <w:lang w:eastAsia="en-GB"/>
              </w:rPr>
              <w:t>ltiple migrations can take place together in one script. This is detailed beneath this table for clarity, with examples.</w:t>
            </w:r>
          </w:p>
        </w:tc>
      </w:tr>
      <w:tr w:rsidR="0095335E" w:rsidRPr="00B829A0" w14:paraId="1345B172" w14:textId="77777777" w:rsidTr="003746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14:paraId="1DDBA046" w14:textId="77777777" w:rsidR="0095335E" w:rsidRDefault="0095335E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</w:tcPr>
          <w:p w14:paraId="0DA06EF4" w14:textId="0AE589C6" w:rsidR="0095335E" w:rsidRPr="00B829A0" w:rsidRDefault="00B57382" w:rsidP="0037460D">
            <w:pPr>
              <w:pStyle w:val="NormalinTable"/>
              <w:rPr>
                <w:lang w:eastAsia="en-GB"/>
              </w:rPr>
            </w:pPr>
            <w:r>
              <w:rPr>
                <w:lang w:eastAsia="en-GB"/>
              </w:rPr>
              <w:t>Regulation identifier (to migrate to)</w:t>
            </w:r>
          </w:p>
        </w:tc>
        <w:tc>
          <w:tcPr>
            <w:tcW w:w="6605" w:type="dxa"/>
          </w:tcPr>
          <w:p w14:paraId="5ECD5218" w14:textId="77777777" w:rsidR="0095335E" w:rsidRDefault="0095335E" w:rsidP="0037460D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In which the UK regulation that will house these measures is captured.</w:t>
            </w:r>
          </w:p>
          <w:p w14:paraId="05D33931" w14:textId="77777777" w:rsidR="0095335E" w:rsidRDefault="0095335E" w:rsidP="0037460D">
            <w:pPr>
              <w:pStyle w:val="ListBulleti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This is only required if the measures identified are to be carried over into the UK tariff</w:t>
            </w:r>
          </w:p>
        </w:tc>
      </w:tr>
    </w:tbl>
    <w:p w14:paraId="12299EF2" w14:textId="77777777" w:rsidR="00493709" w:rsidRPr="00493709" w:rsidRDefault="00493709" w:rsidP="00493709">
      <w:pPr>
        <w:pStyle w:val="Tight"/>
      </w:pPr>
    </w:p>
    <w:p w14:paraId="0053D566" w14:textId="0FD081EE" w:rsidR="0095335E" w:rsidRDefault="008C10C4" w:rsidP="007B0B71">
      <w:pPr>
        <w:pStyle w:val="Heading3"/>
      </w:pPr>
      <w:r>
        <w:t>Calling</w:t>
      </w:r>
      <w:r w:rsidR="00F9565B">
        <w:t xml:space="preserve"> regulation migrations</w:t>
      </w:r>
    </w:p>
    <w:p w14:paraId="02E26B89" w14:textId="5BCF56EC" w:rsidR="00493709" w:rsidRDefault="00493709" w:rsidP="00493709">
      <w:r>
        <w:t xml:space="preserve">A </w:t>
      </w:r>
      <w:r w:rsidR="008C10C4">
        <w:t>normal</w:t>
      </w:r>
      <w:r>
        <w:t xml:space="preserve"> call to this script </w:t>
      </w:r>
      <w:r w:rsidR="008C10C4">
        <w:t xml:space="preserve">to terminated measures associated with a regulation </w:t>
      </w:r>
      <w:r>
        <w:t>would be as follows:</w:t>
      </w:r>
    </w:p>
    <w:p w14:paraId="7238CCC6" w14:textId="1786D673" w:rsidR="00493709" w:rsidRDefault="00493709" w:rsidP="00493709">
      <w:pPr>
        <w:pStyle w:val="Code"/>
      </w:pPr>
      <w:r w:rsidRPr="00493709">
        <w:t>python3 migrate_measures.py r t D9601429</w:t>
      </w:r>
    </w:p>
    <w:p w14:paraId="2ADDC395" w14:textId="18A501C0" w:rsidR="00493709" w:rsidRDefault="00493709" w:rsidP="00493709">
      <w:pPr>
        <w:pStyle w:val="Tight"/>
      </w:pPr>
    </w:p>
    <w:p w14:paraId="0D40D554" w14:textId="5426E267" w:rsidR="00493709" w:rsidRDefault="00493709" w:rsidP="00493709">
      <w:r>
        <w:t xml:space="preserve">This script </w:t>
      </w:r>
      <w:r w:rsidRPr="00CD1C59">
        <w:rPr>
          <w:b/>
          <w:bCs/>
        </w:rPr>
        <w:t>terminates</w:t>
      </w:r>
      <w:r>
        <w:t xml:space="preserve"> (t) all measures belonging to regulation (r) D9601429</w:t>
      </w:r>
      <w:r w:rsidR="008C10C4">
        <w:t xml:space="preserve"> and produces a file </w:t>
      </w:r>
    </w:p>
    <w:p w14:paraId="739CA242" w14:textId="68CD79FA" w:rsidR="00493709" w:rsidRDefault="00493709" w:rsidP="00493709">
      <w:r>
        <w:t>Alternatively:</w:t>
      </w:r>
    </w:p>
    <w:p w14:paraId="04130DC2" w14:textId="3EC9EB42" w:rsidR="00493709" w:rsidRDefault="00493709" w:rsidP="00493709">
      <w:pPr>
        <w:pStyle w:val="Code"/>
      </w:pPr>
      <w:r w:rsidRPr="00493709">
        <w:t xml:space="preserve">python3 migrate_measures.py r </w:t>
      </w:r>
      <w:r>
        <w:t>r</w:t>
      </w:r>
      <w:r w:rsidRPr="00493709">
        <w:t xml:space="preserve"> D9601429</w:t>
      </w:r>
      <w:r>
        <w:t xml:space="preserve"> N1900010</w:t>
      </w:r>
    </w:p>
    <w:p w14:paraId="6A037476" w14:textId="77777777" w:rsidR="00493709" w:rsidRDefault="00493709" w:rsidP="00493709">
      <w:pPr>
        <w:pStyle w:val="Tight"/>
      </w:pPr>
    </w:p>
    <w:p w14:paraId="2197BA6C" w14:textId="66A2889E" w:rsidR="00493709" w:rsidRDefault="00493709" w:rsidP="00493709">
      <w:r>
        <w:t xml:space="preserve">The script above terminates all measures belonging to regulation (r) D9601429 and </w:t>
      </w:r>
      <w:r w:rsidRPr="00CD1C59">
        <w:rPr>
          <w:b/>
          <w:bCs/>
        </w:rPr>
        <w:t>restarts</w:t>
      </w:r>
      <w:r>
        <w:t xml:space="preserve"> (r) them with UK regulation N1900010.</w:t>
      </w:r>
    </w:p>
    <w:p w14:paraId="7249A7B9" w14:textId="3A3DC6B9" w:rsidR="00E9408E" w:rsidRDefault="00E9408E" w:rsidP="007B0B71">
      <w:pPr>
        <w:pStyle w:val="Heading3"/>
      </w:pPr>
      <w:r>
        <w:t xml:space="preserve">Naming convention for migrating by </w:t>
      </w:r>
      <w:r>
        <w:t>regulation</w:t>
      </w:r>
      <w:r>
        <w:t xml:space="preserve"> </w:t>
      </w:r>
      <w:r>
        <w:t>–</w:t>
      </w:r>
      <w:r>
        <w:t xml:space="preserve"> terminating</w:t>
      </w:r>
    </w:p>
    <w:p w14:paraId="6E628137" w14:textId="5A5B03AA" w:rsidR="00E9408E" w:rsidRPr="00E9408E" w:rsidRDefault="00E9408E" w:rsidP="00E9408E">
      <w:pPr>
        <w:pStyle w:val="Code"/>
      </w:pPr>
      <w:r w:rsidRPr="00E9408E">
        <w:t>regulation_end_R120978_2019-07-21.xml</w:t>
      </w:r>
    </w:p>
    <w:p w14:paraId="5066DE5A" w14:textId="77777777" w:rsidR="007B0B71" w:rsidRDefault="007B0B71" w:rsidP="007B0B71">
      <w:pPr>
        <w:pStyle w:val="Tight"/>
      </w:pPr>
    </w:p>
    <w:p w14:paraId="0EB450C8" w14:textId="569FED7E" w:rsidR="00E9408E" w:rsidRDefault="00E9408E" w:rsidP="007B0B71">
      <w:pPr>
        <w:pStyle w:val="Heading3"/>
      </w:pPr>
      <w:r>
        <w:t xml:space="preserve">Naming convention for migrating by </w:t>
      </w:r>
      <w:r>
        <w:t>regulation</w:t>
      </w:r>
      <w:r>
        <w:t xml:space="preserve"> </w:t>
      </w:r>
      <w:r>
        <w:t>–</w:t>
      </w:r>
      <w:r>
        <w:t xml:space="preserve"> </w:t>
      </w:r>
      <w:r>
        <w:t>restarting</w:t>
      </w:r>
    </w:p>
    <w:p w14:paraId="4BB71A4F" w14:textId="482442B4" w:rsidR="00E9408E" w:rsidRPr="00E9408E" w:rsidRDefault="00E9408E" w:rsidP="00E9408E">
      <w:pPr>
        <w:pStyle w:val="Code"/>
      </w:pPr>
      <w:r w:rsidRPr="00E9408E">
        <w:t>regulation_end_R120978_start_N1234567_2019-07-21.xml</w:t>
      </w:r>
    </w:p>
    <w:p w14:paraId="0460026C" w14:textId="77777777" w:rsidR="00E9408E" w:rsidRDefault="00E9408E" w:rsidP="00493709"/>
    <w:p w14:paraId="463D2FEC" w14:textId="4A420270" w:rsidR="00B36680" w:rsidRPr="007B0B71" w:rsidRDefault="00B36680" w:rsidP="007B0B71">
      <w:pPr>
        <w:pStyle w:val="Heading2"/>
      </w:pPr>
      <w:bookmarkStart w:id="8" w:name="_Toc14587894"/>
      <w:r>
        <w:lastRenderedPageBreak/>
        <w:t>Bulk migrating by regulation</w:t>
      </w:r>
      <w:bookmarkEnd w:id="8"/>
    </w:p>
    <w:p w14:paraId="4D0EE56F" w14:textId="2CC8BB68" w:rsidR="00493709" w:rsidRDefault="00493709" w:rsidP="00493709">
      <w:r>
        <w:t>To run these scripts individually for (for example) Trade Remedies and Import / Export control, where we know that there will be tens if not hundreds of regulations that need to be terminated / restarted, running a script to automate this in batches is possible and preferable.</w:t>
      </w:r>
    </w:p>
    <w:p w14:paraId="2BCA612B" w14:textId="6C51291A" w:rsidR="003B6F3C" w:rsidRDefault="003B6F3C" w:rsidP="00493709">
      <w:r>
        <w:t xml:space="preserve">Profiles are built in the JSON config file </w:t>
      </w:r>
      <w:proofErr w:type="spellStart"/>
      <w:r w:rsidRPr="003B6F3C">
        <w:rPr>
          <w:b/>
          <w:bCs/>
        </w:rPr>
        <w:t>config_migrate_measures_and_</w:t>
      </w:r>
      <w:proofErr w:type="gramStart"/>
      <w:r w:rsidRPr="003B6F3C">
        <w:rPr>
          <w:b/>
          <w:bCs/>
        </w:rPr>
        <w:t>quotas.json</w:t>
      </w:r>
      <w:proofErr w:type="spellEnd"/>
      <w:proofErr w:type="gramEnd"/>
      <w:r>
        <w:t xml:space="preserve">. In this file there is a section entitled </w:t>
      </w:r>
      <w:proofErr w:type="spellStart"/>
      <w:r>
        <w:rPr>
          <w:b/>
          <w:bCs/>
        </w:rPr>
        <w:t>bulk_migrations</w:t>
      </w:r>
      <w:proofErr w:type="spellEnd"/>
      <w:r>
        <w:t>. This section contains a list of profiles that can be used for bulk measure migration and the CSV file where the instructions are kept.</w:t>
      </w:r>
    </w:p>
    <w:p w14:paraId="72C53513" w14:textId="77777777" w:rsid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</w:pPr>
    </w:p>
    <w:p w14:paraId="29FB37EF" w14:textId="773CCE59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"bulk_migrations"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: {</w:t>
      </w:r>
    </w:p>
    <w:p w14:paraId="2AB8A020" w14:textId="6E1DA74B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"trade_remedies</w:t>
      </w:r>
      <w:r w:rsidR="004070F5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1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"regulation_migrations_remedies</w:t>
      </w:r>
      <w:r w:rsidR="004070F5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1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.csv"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07E3ADB7" w14:textId="7C1D91A9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"trade_remedies</w:t>
      </w:r>
      <w:r w:rsidR="004070F5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2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"regulation_migrations_remedies</w:t>
      </w:r>
      <w:r w:rsidR="004070F5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2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.csv"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448C00E6" w14:textId="77777777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"impex01"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"impex01.csv"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4A0B52F8" w14:textId="77777777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"impex02"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"impex02.csv"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2F7ABEA6" w14:textId="77777777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"impex03"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"impex03.csv"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>,</w:t>
      </w:r>
    </w:p>
    <w:p w14:paraId="12F0B5E2" w14:textId="77777777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    </w:t>
      </w:r>
      <w:r w:rsidRPr="003B6F3C">
        <w:rPr>
          <w:rFonts w:ascii="Menlo" w:eastAsia="Times New Roman" w:hAnsi="Menlo" w:cs="Menlo"/>
          <w:noProof/>
          <w:color w:val="9CDCFE"/>
          <w:sz w:val="18"/>
          <w:szCs w:val="18"/>
          <w:lang w:eastAsia="en-GB"/>
        </w:rPr>
        <w:t>"impex04"</w:t>
      </w: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: </w:t>
      </w:r>
      <w:r w:rsidRPr="003B6F3C">
        <w:rPr>
          <w:rFonts w:ascii="Menlo" w:eastAsia="Times New Roman" w:hAnsi="Menlo" w:cs="Menlo"/>
          <w:noProof/>
          <w:color w:val="CE9178"/>
          <w:sz w:val="18"/>
          <w:szCs w:val="18"/>
          <w:lang w:eastAsia="en-GB"/>
        </w:rPr>
        <w:t>"impex04.csv"</w:t>
      </w:r>
    </w:p>
    <w:p w14:paraId="377E4ED5" w14:textId="129206C7" w:rsid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</w:pPr>
      <w:r w:rsidRPr="003B6F3C">
        <w:rPr>
          <w:rFonts w:ascii="Menlo" w:eastAsia="Times New Roman" w:hAnsi="Menlo" w:cs="Menlo"/>
          <w:noProof/>
          <w:color w:val="D4D4D4"/>
          <w:sz w:val="18"/>
          <w:szCs w:val="18"/>
          <w:lang w:eastAsia="en-GB"/>
        </w:rPr>
        <w:t xml:space="preserve">    },</w:t>
      </w:r>
    </w:p>
    <w:p w14:paraId="071AB0ED" w14:textId="77777777" w:rsidR="003B6F3C" w:rsidRPr="003B6F3C" w:rsidRDefault="003B6F3C" w:rsidP="003B6F3C">
      <w:pPr>
        <w:shd w:val="clear" w:color="auto" w:fill="1E1E1E"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1A2D33" w14:textId="52D5942E" w:rsidR="0037460D" w:rsidRDefault="004070F5" w:rsidP="003B6F3C">
      <w:r>
        <w:br/>
        <w:t>The fragment below indicates that (for example), the profile "</w:t>
      </w:r>
      <w:r w:rsidRPr="006240A2">
        <w:rPr>
          <w:b/>
          <w:bCs/>
        </w:rPr>
        <w:t>trade_remedies</w:t>
      </w:r>
      <w:r w:rsidR="006240A2" w:rsidRPr="006240A2">
        <w:rPr>
          <w:b/>
          <w:bCs/>
        </w:rPr>
        <w:t>1</w:t>
      </w:r>
      <w:r w:rsidR="006240A2">
        <w:t xml:space="preserve">" calls on the file </w:t>
      </w:r>
      <w:r w:rsidR="006240A2" w:rsidRPr="006240A2">
        <w:t>"</w:t>
      </w:r>
      <w:r w:rsidR="006240A2" w:rsidRPr="006240A2">
        <w:rPr>
          <w:b/>
          <w:bCs/>
        </w:rPr>
        <w:t>regulation_migrations_remedies1.csv</w:t>
      </w:r>
      <w:r w:rsidR="006240A2" w:rsidRPr="006240A2">
        <w:t>",</w:t>
      </w:r>
      <w:r w:rsidR="006240A2">
        <w:t xml:space="preserve"> which is located in the "</w:t>
      </w:r>
      <w:proofErr w:type="spellStart"/>
      <w:r w:rsidR="006240A2">
        <w:rPr>
          <w:b/>
          <w:bCs/>
        </w:rPr>
        <w:t>migration_profiles</w:t>
      </w:r>
      <w:proofErr w:type="spellEnd"/>
      <w:r w:rsidR="006240A2">
        <w:rPr>
          <w:b/>
          <w:bCs/>
        </w:rPr>
        <w:t>"</w:t>
      </w:r>
      <w:r w:rsidR="006240A2" w:rsidRPr="006240A2">
        <w:t xml:space="preserve"> subfolder.</w:t>
      </w:r>
    </w:p>
    <w:p w14:paraId="6A12944F" w14:textId="313A1628" w:rsidR="0037460D" w:rsidRPr="006240A2" w:rsidRDefault="0037460D" w:rsidP="003B6F3C">
      <w:pPr>
        <w:rPr>
          <w:b/>
          <w:bCs/>
        </w:rPr>
      </w:pPr>
      <w:r>
        <w:t>The content of the migration profile CSV file is exemplified below – in this example, there are 5 records which display the EU regulation (7-digits) and the UK regulation to which the regulations are to be migrated.</w:t>
      </w:r>
    </w:p>
    <w:p w14:paraId="69AFF99F" w14:textId="77777777" w:rsidR="006240A2" w:rsidRDefault="006240A2" w:rsidP="006240A2">
      <w:pPr>
        <w:pStyle w:val="Code"/>
      </w:pPr>
      <w:r>
        <w:t>EU Regulation,UK regulation ID</w:t>
      </w:r>
    </w:p>
    <w:p w14:paraId="1F08490B" w14:textId="77777777" w:rsidR="006240A2" w:rsidRDefault="006240A2" w:rsidP="006240A2">
      <w:pPr>
        <w:pStyle w:val="Code"/>
      </w:pPr>
      <w:r>
        <w:t>R130217,N1900120</w:t>
      </w:r>
    </w:p>
    <w:p w14:paraId="1BE6DD47" w14:textId="77777777" w:rsidR="006240A2" w:rsidRDefault="006240A2" w:rsidP="006240A2">
      <w:pPr>
        <w:pStyle w:val="Code"/>
      </w:pPr>
      <w:r>
        <w:t>R170109,N1900090</w:t>
      </w:r>
    </w:p>
    <w:p w14:paraId="02C39BB4" w14:textId="77777777" w:rsidR="006240A2" w:rsidRDefault="006240A2" w:rsidP="006240A2">
      <w:pPr>
        <w:pStyle w:val="Code"/>
      </w:pPr>
      <w:r>
        <w:t>R181722,N1900010</w:t>
      </w:r>
    </w:p>
    <w:p w14:paraId="2538F0A1" w14:textId="77777777" w:rsidR="006240A2" w:rsidRDefault="006240A2" w:rsidP="006240A2">
      <w:pPr>
        <w:pStyle w:val="Code"/>
      </w:pPr>
      <w:r>
        <w:t>R190244,N1900340</w:t>
      </w:r>
    </w:p>
    <w:p w14:paraId="772C9312" w14:textId="5906552D" w:rsidR="00493709" w:rsidRDefault="006240A2" w:rsidP="006240A2">
      <w:pPr>
        <w:pStyle w:val="Code"/>
      </w:pPr>
      <w:r>
        <w:t>R160676,N1900080</w:t>
      </w:r>
    </w:p>
    <w:p w14:paraId="62FE8CE4" w14:textId="3DAABDBF" w:rsidR="008C10C4" w:rsidRDefault="008C10C4" w:rsidP="008C10C4">
      <w:r>
        <w:br/>
        <w:t>Where the regulations are to be terminated and not transitioned to the UK, the UK regulation ID is simply omitted, as follows:</w:t>
      </w:r>
    </w:p>
    <w:p w14:paraId="0CE975BF" w14:textId="77777777" w:rsidR="008C10C4" w:rsidRPr="008C10C4" w:rsidRDefault="008C10C4" w:rsidP="008C10C4">
      <w:pPr>
        <w:pStyle w:val="Code"/>
      </w:pPr>
      <w:r w:rsidRPr="008C10C4">
        <w:t>Regulation ID,UK regulation ID</w:t>
      </w:r>
    </w:p>
    <w:p w14:paraId="7356DBCD" w14:textId="77777777" w:rsidR="008C10C4" w:rsidRPr="008C10C4" w:rsidRDefault="008C10C4" w:rsidP="008C10C4">
      <w:pPr>
        <w:pStyle w:val="Code"/>
      </w:pPr>
      <w:r w:rsidRPr="008C10C4">
        <w:t>D010108</w:t>
      </w:r>
    </w:p>
    <w:p w14:paraId="663B493F" w14:textId="77777777" w:rsidR="008C10C4" w:rsidRPr="008C10C4" w:rsidRDefault="008C10C4" w:rsidP="008C10C4">
      <w:pPr>
        <w:pStyle w:val="Code"/>
      </w:pPr>
      <w:r w:rsidRPr="008C10C4">
        <w:t>D020134</w:t>
      </w:r>
    </w:p>
    <w:p w14:paraId="0B75E6CF" w14:textId="77777777" w:rsidR="008C10C4" w:rsidRPr="008C10C4" w:rsidRDefault="008C10C4" w:rsidP="008C10C4">
      <w:pPr>
        <w:pStyle w:val="Code"/>
      </w:pPr>
      <w:r w:rsidRPr="008C10C4">
        <w:t>D020606</w:t>
      </w:r>
    </w:p>
    <w:p w14:paraId="1C4977E2" w14:textId="1A2E5E3D" w:rsidR="008C10C4" w:rsidRPr="008C10C4" w:rsidRDefault="008C10C4" w:rsidP="008C10C4">
      <w:pPr>
        <w:pStyle w:val="Code"/>
      </w:pPr>
      <w:r w:rsidRPr="008C10C4">
        <w:t>D030899</w:t>
      </w:r>
    </w:p>
    <w:p w14:paraId="7FE218AE" w14:textId="0FF20DDF" w:rsidR="008C10C4" w:rsidRDefault="008C10C4" w:rsidP="008C10C4">
      <w:r>
        <w:br/>
      </w:r>
      <w:r w:rsidR="00CD1C59">
        <w:t>To call these profile-driven</w:t>
      </w:r>
      <w:r w:rsidR="00B12A5F">
        <w:t xml:space="preserve"> bulk</w:t>
      </w:r>
      <w:r w:rsidR="00CD1C59">
        <w:t xml:space="preserve"> migration scripts, use the following structure:</w:t>
      </w:r>
    </w:p>
    <w:p w14:paraId="3AF81FAB" w14:textId="358D8645" w:rsidR="00CD1C59" w:rsidRDefault="006B0445" w:rsidP="00CD1C59">
      <w:pPr>
        <w:pStyle w:val="Code"/>
      </w:pPr>
      <w:r w:rsidRPr="006B0445">
        <w:lastRenderedPageBreak/>
        <w:t>python3 bulk_migrate.py trade_remedies</w:t>
      </w:r>
      <w:r>
        <w:t>1</w:t>
      </w:r>
    </w:p>
    <w:p w14:paraId="756AA5AB" w14:textId="01E4DC85" w:rsidR="00CD1C59" w:rsidRDefault="00CD1C59" w:rsidP="008C10C4">
      <w:r>
        <w:br/>
      </w:r>
      <w:r w:rsidR="00B12A5F">
        <w:t xml:space="preserve">Warning – these scripts can take a long time to </w:t>
      </w:r>
      <w:proofErr w:type="spellStart"/>
      <w:r w:rsidR="00B12A5F">
        <w:t>run</w:t>
      </w:r>
      <w:proofErr w:type="spellEnd"/>
      <w:r w:rsidR="00A2749E">
        <w:t>.</w:t>
      </w:r>
      <w:r>
        <w:t xml:space="preserve"> </w:t>
      </w:r>
    </w:p>
    <w:p w14:paraId="43EC7909" w14:textId="7A8CD7AE" w:rsidR="00B12A5F" w:rsidRDefault="00B12A5F" w:rsidP="00B12A5F">
      <w:pPr>
        <w:pStyle w:val="Heading3"/>
      </w:pPr>
      <w:r>
        <w:t>Output from bulk migration scripts</w:t>
      </w:r>
    </w:p>
    <w:p w14:paraId="083B38AF" w14:textId="4AFB59EB" w:rsidR="00B12A5F" w:rsidRDefault="00B12A5F" w:rsidP="008C10C4">
      <w:r>
        <w:t xml:space="preserve">Bulk migration scripts generate output files as normal in the </w:t>
      </w:r>
      <w:r w:rsidRPr="00B12A5F">
        <w:rPr>
          <w:b/>
          <w:bCs/>
        </w:rPr>
        <w:t>/</w:t>
      </w:r>
      <w:proofErr w:type="spellStart"/>
      <w:r w:rsidRPr="00B12A5F">
        <w:rPr>
          <w:b/>
          <w:bCs/>
        </w:rPr>
        <w:t>xml_out</w:t>
      </w:r>
      <w:proofErr w:type="spellEnd"/>
      <w:r>
        <w:t xml:space="preserve"> subfolder. Once the multiple scripts have run however, these individual XML export files are then combined into a single large XML file for data load to CDS etc.</w:t>
      </w:r>
    </w:p>
    <w:p w14:paraId="27B5616B" w14:textId="793E0CD7" w:rsidR="00B12A5F" w:rsidRDefault="00B12A5F" w:rsidP="008C10C4">
      <w:r>
        <w:t>The naming convention for the file is:</w:t>
      </w:r>
    </w:p>
    <w:p w14:paraId="5C7F938F" w14:textId="19B91652" w:rsidR="00B12A5F" w:rsidRDefault="00B12A5F" w:rsidP="00B12A5F">
      <w:pPr>
        <w:pStyle w:val="Code"/>
      </w:pPr>
      <w:r>
        <w:t>&lt;name_of_profile&gt;.xml</w:t>
      </w:r>
    </w:p>
    <w:p w14:paraId="79E96706" w14:textId="77777777" w:rsidR="00CD1C59" w:rsidRPr="008C10C4" w:rsidRDefault="00CD1C59" w:rsidP="008C10C4"/>
    <w:sectPr w:rsidR="00CD1C59" w:rsidRPr="008C10C4" w:rsidSect="00D900F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D0B4" w14:textId="77777777" w:rsidR="00D85CCA" w:rsidRDefault="00D85CCA" w:rsidP="00A65064">
      <w:pPr>
        <w:spacing w:after="0" w:line="240" w:lineRule="auto"/>
      </w:pPr>
      <w:r>
        <w:separator/>
      </w:r>
    </w:p>
  </w:endnote>
  <w:endnote w:type="continuationSeparator" w:id="0">
    <w:p w14:paraId="1C4D4E43" w14:textId="77777777" w:rsidR="00D85CCA" w:rsidRDefault="00D85CCA" w:rsidP="00A6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93569" w14:textId="31090F73" w:rsidR="0037460D" w:rsidRDefault="0037460D">
    <w:pPr>
      <w:pStyle w:val="Foo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10</w:t>
    </w:r>
    <w:r>
      <w:fldChar w:fldCharType="end"/>
    </w:r>
    <w:r>
      <w:t xml:space="preserve"> of </w:t>
    </w:r>
    <w:r w:rsidR="00D85CCA">
      <w:fldChar w:fldCharType="begin"/>
    </w:r>
    <w:r w:rsidR="00D85CCA">
      <w:instrText xml:space="preserve"> NUMPAGES  \* MERGEFORMAT </w:instrText>
    </w:r>
    <w:r w:rsidR="00D85CCA">
      <w:fldChar w:fldCharType="separate"/>
    </w:r>
    <w:r>
      <w:rPr>
        <w:noProof/>
      </w:rPr>
      <w:t>11</w:t>
    </w:r>
    <w:r w:rsidR="00D85CC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4C83" w14:textId="77777777" w:rsidR="00D85CCA" w:rsidRDefault="00D85CCA" w:rsidP="00A65064">
      <w:pPr>
        <w:spacing w:after="0" w:line="240" w:lineRule="auto"/>
      </w:pPr>
      <w:r>
        <w:separator/>
      </w:r>
    </w:p>
  </w:footnote>
  <w:footnote w:type="continuationSeparator" w:id="0">
    <w:p w14:paraId="143A6788" w14:textId="77777777" w:rsidR="00D85CCA" w:rsidRDefault="00D85CCA" w:rsidP="00A6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9D773" w14:textId="511E2D75" w:rsidR="0037460D" w:rsidRDefault="0037460D">
    <w:pPr>
      <w:pStyle w:val="Header"/>
    </w:pPr>
    <w:r>
      <w:t xml:space="preserve">Tariff Data Creation Documentation – </w:t>
    </w:r>
    <w:r w:rsidR="00B91208">
      <w:t>Migrating and terminating measures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3442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AE14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6608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1238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A9E76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40C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C6C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34419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CE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AA1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175CC3"/>
    <w:multiLevelType w:val="hybridMultilevel"/>
    <w:tmpl w:val="EC168A9E"/>
    <w:lvl w:ilvl="0" w:tplc="4F6421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A4911"/>
    <w:multiLevelType w:val="hybridMultilevel"/>
    <w:tmpl w:val="CE96ED44"/>
    <w:lvl w:ilvl="0" w:tplc="57C6CEE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8E"/>
    <w:rsid w:val="00040CA8"/>
    <w:rsid w:val="00044379"/>
    <w:rsid w:val="00072ED7"/>
    <w:rsid w:val="00083FDA"/>
    <w:rsid w:val="00085F3E"/>
    <w:rsid w:val="000B04CA"/>
    <w:rsid w:val="000B1253"/>
    <w:rsid w:val="000E7FD1"/>
    <w:rsid w:val="00101BEA"/>
    <w:rsid w:val="00111162"/>
    <w:rsid w:val="001632E9"/>
    <w:rsid w:val="001639B7"/>
    <w:rsid w:val="001873BA"/>
    <w:rsid w:val="001C75D1"/>
    <w:rsid w:val="00264811"/>
    <w:rsid w:val="00277152"/>
    <w:rsid w:val="00292F23"/>
    <w:rsid w:val="002A1EE2"/>
    <w:rsid w:val="002A3778"/>
    <w:rsid w:val="00350A73"/>
    <w:rsid w:val="00353FA7"/>
    <w:rsid w:val="0037460D"/>
    <w:rsid w:val="003766BB"/>
    <w:rsid w:val="00393B1A"/>
    <w:rsid w:val="003A3C1B"/>
    <w:rsid w:val="003B6F3C"/>
    <w:rsid w:val="003D0B5C"/>
    <w:rsid w:val="004070F5"/>
    <w:rsid w:val="00415248"/>
    <w:rsid w:val="0044784D"/>
    <w:rsid w:val="00493709"/>
    <w:rsid w:val="0049797C"/>
    <w:rsid w:val="004B239E"/>
    <w:rsid w:val="004B2A7E"/>
    <w:rsid w:val="00510E55"/>
    <w:rsid w:val="00513A5C"/>
    <w:rsid w:val="00525FC5"/>
    <w:rsid w:val="00541096"/>
    <w:rsid w:val="005B0164"/>
    <w:rsid w:val="005C72D5"/>
    <w:rsid w:val="005E2A1B"/>
    <w:rsid w:val="006240A2"/>
    <w:rsid w:val="00646030"/>
    <w:rsid w:val="00650A08"/>
    <w:rsid w:val="00664FDE"/>
    <w:rsid w:val="0066680B"/>
    <w:rsid w:val="0067196B"/>
    <w:rsid w:val="00671D79"/>
    <w:rsid w:val="00681450"/>
    <w:rsid w:val="006B0445"/>
    <w:rsid w:val="006C4D60"/>
    <w:rsid w:val="006E46D1"/>
    <w:rsid w:val="007079E7"/>
    <w:rsid w:val="0071699B"/>
    <w:rsid w:val="0074357B"/>
    <w:rsid w:val="0074502B"/>
    <w:rsid w:val="0079167F"/>
    <w:rsid w:val="007B007D"/>
    <w:rsid w:val="007B0B71"/>
    <w:rsid w:val="007B56F1"/>
    <w:rsid w:val="007C476D"/>
    <w:rsid w:val="007D26D8"/>
    <w:rsid w:val="007D318A"/>
    <w:rsid w:val="007F3B2B"/>
    <w:rsid w:val="008106E3"/>
    <w:rsid w:val="00822FD1"/>
    <w:rsid w:val="00826295"/>
    <w:rsid w:val="0083584E"/>
    <w:rsid w:val="00874CB9"/>
    <w:rsid w:val="008B59B7"/>
    <w:rsid w:val="008C0580"/>
    <w:rsid w:val="008C10C4"/>
    <w:rsid w:val="008E2A92"/>
    <w:rsid w:val="008F6198"/>
    <w:rsid w:val="00917310"/>
    <w:rsid w:val="009303ED"/>
    <w:rsid w:val="00930E69"/>
    <w:rsid w:val="0095335E"/>
    <w:rsid w:val="00961442"/>
    <w:rsid w:val="009B008E"/>
    <w:rsid w:val="00A2749E"/>
    <w:rsid w:val="00A65064"/>
    <w:rsid w:val="00A777B7"/>
    <w:rsid w:val="00A9235B"/>
    <w:rsid w:val="00B12A5F"/>
    <w:rsid w:val="00B36680"/>
    <w:rsid w:val="00B3753B"/>
    <w:rsid w:val="00B55C2C"/>
    <w:rsid w:val="00B56D77"/>
    <w:rsid w:val="00B57382"/>
    <w:rsid w:val="00B7331B"/>
    <w:rsid w:val="00B829A0"/>
    <w:rsid w:val="00B91208"/>
    <w:rsid w:val="00BB2887"/>
    <w:rsid w:val="00BB6909"/>
    <w:rsid w:val="00BD15D5"/>
    <w:rsid w:val="00BE0BE5"/>
    <w:rsid w:val="00BE44C9"/>
    <w:rsid w:val="00BF3B61"/>
    <w:rsid w:val="00C107F4"/>
    <w:rsid w:val="00C445AE"/>
    <w:rsid w:val="00C473F9"/>
    <w:rsid w:val="00C61D2F"/>
    <w:rsid w:val="00C639B1"/>
    <w:rsid w:val="00CA5F13"/>
    <w:rsid w:val="00CD1C02"/>
    <w:rsid w:val="00CD1C59"/>
    <w:rsid w:val="00D1213E"/>
    <w:rsid w:val="00D2424B"/>
    <w:rsid w:val="00D406ED"/>
    <w:rsid w:val="00D5302F"/>
    <w:rsid w:val="00D65002"/>
    <w:rsid w:val="00D65C84"/>
    <w:rsid w:val="00D83396"/>
    <w:rsid w:val="00D85CCA"/>
    <w:rsid w:val="00D900FE"/>
    <w:rsid w:val="00D91B39"/>
    <w:rsid w:val="00D95D8B"/>
    <w:rsid w:val="00D97F05"/>
    <w:rsid w:val="00DB35C9"/>
    <w:rsid w:val="00E429D6"/>
    <w:rsid w:val="00E527BC"/>
    <w:rsid w:val="00E7038A"/>
    <w:rsid w:val="00E91471"/>
    <w:rsid w:val="00E9408E"/>
    <w:rsid w:val="00EC4CDF"/>
    <w:rsid w:val="00EC5955"/>
    <w:rsid w:val="00EF066B"/>
    <w:rsid w:val="00F02501"/>
    <w:rsid w:val="00F43BA0"/>
    <w:rsid w:val="00F55F2F"/>
    <w:rsid w:val="00F677DB"/>
    <w:rsid w:val="00F703EE"/>
    <w:rsid w:val="00F9565B"/>
    <w:rsid w:val="00FB5C8B"/>
    <w:rsid w:val="00F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68C4"/>
  <w15:chartTrackingRefBased/>
  <w15:docId w15:val="{768FF290-D491-1840-8B13-DB6036AE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310"/>
    <w:pPr>
      <w:spacing w:after="240" w:line="288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2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03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0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Table">
    <w:name w:val="Normal in Table"/>
    <w:basedOn w:val="Normal"/>
    <w:qFormat/>
    <w:rsid w:val="00F703EE"/>
    <w:pPr>
      <w:spacing w:before="40" w:after="40" w:line="240" w:lineRule="auto"/>
      <w:jc w:val="left"/>
    </w:pPr>
  </w:style>
  <w:style w:type="table" w:styleId="ListTable3">
    <w:name w:val="List Table 3"/>
    <w:basedOn w:val="TableNormal"/>
    <w:uiPriority w:val="48"/>
    <w:rsid w:val="00F703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70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ght">
    <w:name w:val="Tight"/>
    <w:basedOn w:val="Normal"/>
    <w:qFormat/>
    <w:rsid w:val="0066680B"/>
    <w:pPr>
      <w:spacing w:after="0"/>
    </w:pPr>
  </w:style>
  <w:style w:type="paragraph" w:styleId="ListBullet">
    <w:name w:val="List Bullet"/>
    <w:basedOn w:val="Normal"/>
    <w:uiPriority w:val="99"/>
    <w:unhideWhenUsed/>
    <w:rsid w:val="00EC4CDF"/>
    <w:pPr>
      <w:numPr>
        <w:numId w:val="10"/>
      </w:numPr>
      <w:contextualSpacing/>
      <w:jc w:val="left"/>
    </w:pPr>
  </w:style>
  <w:style w:type="paragraph" w:styleId="TOC1">
    <w:name w:val="toc 1"/>
    <w:basedOn w:val="Normal"/>
    <w:next w:val="Normal"/>
    <w:autoRedefine/>
    <w:uiPriority w:val="39"/>
    <w:unhideWhenUsed/>
    <w:rsid w:val="005B01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3C1B"/>
    <w:pPr>
      <w:spacing w:after="100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3D0B5C"/>
    <w:rPr>
      <w:color w:val="0563C1" w:themeColor="hyperlink"/>
      <w:u w:val="single"/>
    </w:rPr>
  </w:style>
  <w:style w:type="paragraph" w:customStyle="1" w:styleId="Important">
    <w:name w:val="Important"/>
    <w:basedOn w:val="Normal"/>
    <w:qFormat/>
    <w:rsid w:val="00681450"/>
    <w:pPr>
      <w:keepLines/>
      <w:pBdr>
        <w:top w:val="single" w:sz="48" w:space="1" w:color="DEEAF6" w:themeColor="accent5" w:themeTint="33"/>
        <w:left w:val="single" w:sz="48" w:space="4" w:color="DEEAF6" w:themeColor="accent5" w:themeTint="33"/>
        <w:bottom w:val="single" w:sz="48" w:space="1" w:color="DEEAF6" w:themeColor="accent5" w:themeTint="33"/>
        <w:right w:val="single" w:sz="48" w:space="4" w:color="DEEAF6" w:themeColor="accent5" w:themeTint="33"/>
      </w:pBdr>
      <w:shd w:val="clear" w:color="auto" w:fill="DEEAF6" w:themeFill="accent5" w:themeFillTint="33"/>
      <w:jc w:val="left"/>
    </w:pPr>
  </w:style>
  <w:style w:type="paragraph" w:customStyle="1" w:styleId="Code">
    <w:name w:val="Code"/>
    <w:basedOn w:val="Normal"/>
    <w:qFormat/>
    <w:rsid w:val="00292F23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40" w:after="40"/>
      <w:jc w:val="left"/>
    </w:pPr>
    <w:rPr>
      <w:rFonts w:ascii="Courier New" w:hAnsi="Courier New"/>
      <w:noProof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639B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ListBulletinTable">
    <w:name w:val="List Bullet in Table"/>
    <w:basedOn w:val="ListBullet"/>
    <w:qFormat/>
    <w:rsid w:val="00BF3B61"/>
    <w:pPr>
      <w:spacing w:before="40" w:after="40" w:line="264" w:lineRule="auto"/>
      <w:ind w:left="284" w:hanging="284"/>
    </w:pPr>
  </w:style>
  <w:style w:type="paragraph" w:styleId="ListBullet2">
    <w:name w:val="List Bullet 2"/>
    <w:basedOn w:val="Normal"/>
    <w:uiPriority w:val="99"/>
    <w:unhideWhenUsed/>
    <w:rsid w:val="00D83396"/>
    <w:pPr>
      <w:numPr>
        <w:numId w:val="9"/>
      </w:numPr>
      <w:contextualSpacing/>
    </w:pPr>
  </w:style>
  <w:style w:type="paragraph" w:customStyle="1" w:styleId="ListBullet2inTable">
    <w:name w:val="List Bullet 2 in Table"/>
    <w:basedOn w:val="ListBullet2"/>
    <w:qFormat/>
    <w:rsid w:val="00D65002"/>
    <w:pPr>
      <w:spacing w:before="40" w:after="40"/>
      <w:ind w:left="568" w:hanging="284"/>
      <w:jc w:val="left"/>
    </w:pPr>
  </w:style>
  <w:style w:type="paragraph" w:styleId="Header">
    <w:name w:val="header"/>
    <w:basedOn w:val="Normal"/>
    <w:link w:val="HeaderChar"/>
    <w:uiPriority w:val="99"/>
    <w:unhideWhenUsed/>
    <w:rsid w:val="00A6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06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6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064"/>
    <w:rPr>
      <w:sz w:val="22"/>
    </w:rPr>
  </w:style>
  <w:style w:type="paragraph" w:styleId="NoSpacing">
    <w:name w:val="No Spacing"/>
    <w:uiPriority w:val="1"/>
    <w:qFormat/>
    <w:rsid w:val="0074502B"/>
    <w:pPr>
      <w:jc w:val="both"/>
    </w:pPr>
    <w:rPr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4C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4C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4CD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53FA7"/>
    <w:rPr>
      <w:color w:val="605E5C"/>
      <w:shd w:val="clear" w:color="auto" w:fill="E1DFDD"/>
    </w:rPr>
  </w:style>
  <w:style w:type="character" w:customStyle="1" w:styleId="CourierBold">
    <w:name w:val="Courier Bold"/>
    <w:basedOn w:val="DefaultParagraphFont"/>
    <w:uiPriority w:val="1"/>
    <w:qFormat/>
    <w:rsid w:val="004B2A7E"/>
    <w:rPr>
      <w:rFonts w:ascii="Courier New" w:hAnsi="Courier New" w:cs="Courier New"/>
      <w:b/>
      <w:bCs/>
    </w:rPr>
  </w:style>
  <w:style w:type="paragraph" w:styleId="ListParagraph">
    <w:name w:val="List Paragraph"/>
    <w:basedOn w:val="Normal"/>
    <w:uiPriority w:val="34"/>
    <w:qFormat/>
    <w:rsid w:val="00D121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72D5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038A"/>
    <w:rPr>
      <w:rFonts w:asciiTheme="majorHAnsi" w:eastAsiaTheme="majorEastAsia" w:hAnsiTheme="majorHAnsi" w:cstheme="majorBidi"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55FCBF-808C-8846-8B6C-8B7EF84F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9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74</cp:revision>
  <dcterms:created xsi:type="dcterms:W3CDTF">2019-07-16T07:12:00Z</dcterms:created>
  <dcterms:modified xsi:type="dcterms:W3CDTF">2019-07-21T06:51:00Z</dcterms:modified>
</cp:coreProperties>
</file>