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5A6" w14:textId="7DE21958" w:rsidR="001639B7" w:rsidRDefault="0025399A" w:rsidP="00C107F4">
      <w:pPr>
        <w:pStyle w:val="Title"/>
      </w:pPr>
      <w:r>
        <w:t>Migrating quotas</w:t>
      </w:r>
    </w:p>
    <w:p w14:paraId="187EB71E" w14:textId="355FF917" w:rsidR="00434A73" w:rsidRDefault="003D0B5C">
      <w:pPr>
        <w:pStyle w:val="TOC1"/>
        <w:tabs>
          <w:tab w:val="right" w:leader="dot" w:pos="9010"/>
        </w:tabs>
        <w:rPr>
          <w:rFonts w:eastAsiaTheme="minorEastAsia"/>
          <w:b w:val="0"/>
          <w:noProof/>
          <w:sz w:val="24"/>
          <w:lang w:eastAsia="en-GB"/>
        </w:rPr>
      </w:pPr>
      <w:r w:rsidRPr="00917310">
        <w:fldChar w:fldCharType="begin"/>
      </w:r>
      <w:r w:rsidRPr="00917310">
        <w:instrText xml:space="preserve"> TOC \o "1-2" \h \z \u </w:instrText>
      </w:r>
      <w:r w:rsidRPr="00917310">
        <w:fldChar w:fldCharType="separate"/>
      </w:r>
      <w:hyperlink w:anchor="_Toc14590053" w:history="1">
        <w:r w:rsidR="00434A73" w:rsidRPr="00B937CC">
          <w:rPr>
            <w:rStyle w:val="Hyperlink"/>
            <w:noProof/>
          </w:rPr>
          <w:t>Introduction</w:t>
        </w:r>
        <w:r w:rsidR="00434A73">
          <w:rPr>
            <w:noProof/>
            <w:webHidden/>
          </w:rPr>
          <w:tab/>
        </w:r>
        <w:r w:rsidR="00434A73">
          <w:rPr>
            <w:noProof/>
            <w:webHidden/>
          </w:rPr>
          <w:fldChar w:fldCharType="begin"/>
        </w:r>
        <w:r w:rsidR="00434A73">
          <w:rPr>
            <w:noProof/>
            <w:webHidden/>
          </w:rPr>
          <w:instrText xml:space="preserve"> PAGEREF _Toc14590053 \h </w:instrText>
        </w:r>
        <w:r w:rsidR="00434A73">
          <w:rPr>
            <w:noProof/>
            <w:webHidden/>
          </w:rPr>
        </w:r>
        <w:r w:rsidR="00434A73">
          <w:rPr>
            <w:noProof/>
            <w:webHidden/>
          </w:rPr>
          <w:fldChar w:fldCharType="separate"/>
        </w:r>
        <w:r w:rsidR="00434A73">
          <w:rPr>
            <w:noProof/>
            <w:webHidden/>
          </w:rPr>
          <w:t>1</w:t>
        </w:r>
        <w:r w:rsidR="00434A73">
          <w:rPr>
            <w:noProof/>
            <w:webHidden/>
          </w:rPr>
          <w:fldChar w:fldCharType="end"/>
        </w:r>
      </w:hyperlink>
    </w:p>
    <w:p w14:paraId="5043B5D7" w14:textId="5CE52AC1" w:rsidR="00434A73" w:rsidRDefault="00434A73">
      <w:pPr>
        <w:pStyle w:val="TOC1"/>
        <w:tabs>
          <w:tab w:val="right" w:leader="dot" w:pos="9010"/>
        </w:tabs>
        <w:rPr>
          <w:rFonts w:eastAsiaTheme="minorEastAsia"/>
          <w:b w:val="0"/>
          <w:noProof/>
          <w:sz w:val="24"/>
          <w:lang w:eastAsia="en-GB"/>
        </w:rPr>
      </w:pPr>
      <w:hyperlink w:anchor="_Toc14590054" w:history="1">
        <w:r w:rsidRPr="00B937CC">
          <w:rPr>
            <w:rStyle w:val="Hyperlink"/>
            <w:noProof/>
          </w:rPr>
          <w:t>Brief refresher on type of quota</w:t>
        </w:r>
        <w:r>
          <w:rPr>
            <w:noProof/>
            <w:webHidden/>
          </w:rPr>
          <w:tab/>
        </w:r>
        <w:r>
          <w:rPr>
            <w:noProof/>
            <w:webHidden/>
          </w:rPr>
          <w:fldChar w:fldCharType="begin"/>
        </w:r>
        <w:r>
          <w:rPr>
            <w:noProof/>
            <w:webHidden/>
          </w:rPr>
          <w:instrText xml:space="preserve"> PAGEREF _Toc14590054 \h </w:instrText>
        </w:r>
        <w:r>
          <w:rPr>
            <w:noProof/>
            <w:webHidden/>
          </w:rPr>
        </w:r>
        <w:r>
          <w:rPr>
            <w:noProof/>
            <w:webHidden/>
          </w:rPr>
          <w:fldChar w:fldCharType="separate"/>
        </w:r>
        <w:r>
          <w:rPr>
            <w:noProof/>
            <w:webHidden/>
          </w:rPr>
          <w:t>1</w:t>
        </w:r>
        <w:r>
          <w:rPr>
            <w:noProof/>
            <w:webHidden/>
          </w:rPr>
          <w:fldChar w:fldCharType="end"/>
        </w:r>
      </w:hyperlink>
    </w:p>
    <w:p w14:paraId="50A3DEEF" w14:textId="1F767F03" w:rsidR="00434A73" w:rsidRDefault="00434A73">
      <w:pPr>
        <w:pStyle w:val="TOC1"/>
        <w:tabs>
          <w:tab w:val="right" w:leader="dot" w:pos="9010"/>
        </w:tabs>
        <w:rPr>
          <w:rFonts w:eastAsiaTheme="minorEastAsia"/>
          <w:b w:val="0"/>
          <w:noProof/>
          <w:sz w:val="24"/>
          <w:lang w:eastAsia="en-GB"/>
        </w:rPr>
      </w:pPr>
      <w:hyperlink w:anchor="_Toc14590055" w:history="1">
        <w:r w:rsidRPr="00B937CC">
          <w:rPr>
            <w:rStyle w:val="Hyperlink"/>
            <w:noProof/>
          </w:rPr>
          <w:t>Brief refresher on the quota data objects</w:t>
        </w:r>
        <w:r>
          <w:rPr>
            <w:noProof/>
            <w:webHidden/>
          </w:rPr>
          <w:tab/>
        </w:r>
        <w:r>
          <w:rPr>
            <w:noProof/>
            <w:webHidden/>
          </w:rPr>
          <w:fldChar w:fldCharType="begin"/>
        </w:r>
        <w:r>
          <w:rPr>
            <w:noProof/>
            <w:webHidden/>
          </w:rPr>
          <w:instrText xml:space="preserve"> PAGEREF _Toc14590055 \h </w:instrText>
        </w:r>
        <w:r>
          <w:rPr>
            <w:noProof/>
            <w:webHidden/>
          </w:rPr>
        </w:r>
        <w:r>
          <w:rPr>
            <w:noProof/>
            <w:webHidden/>
          </w:rPr>
          <w:fldChar w:fldCharType="separate"/>
        </w:r>
        <w:r>
          <w:rPr>
            <w:noProof/>
            <w:webHidden/>
          </w:rPr>
          <w:t>2</w:t>
        </w:r>
        <w:r>
          <w:rPr>
            <w:noProof/>
            <w:webHidden/>
          </w:rPr>
          <w:fldChar w:fldCharType="end"/>
        </w:r>
      </w:hyperlink>
    </w:p>
    <w:p w14:paraId="39AC4AE5" w14:textId="153A2AFC" w:rsidR="00434A73" w:rsidRDefault="00434A73">
      <w:pPr>
        <w:pStyle w:val="TOC2"/>
        <w:tabs>
          <w:tab w:val="right" w:leader="dot" w:pos="9010"/>
        </w:tabs>
        <w:rPr>
          <w:rFonts w:eastAsiaTheme="minorEastAsia"/>
          <w:noProof/>
          <w:sz w:val="24"/>
          <w:lang w:eastAsia="en-GB"/>
        </w:rPr>
      </w:pPr>
      <w:hyperlink w:anchor="_Toc14590056" w:history="1">
        <w:r w:rsidRPr="00B937CC">
          <w:rPr>
            <w:rStyle w:val="Hyperlink"/>
            <w:noProof/>
          </w:rPr>
          <w:t>Quota order numbers</w:t>
        </w:r>
        <w:r>
          <w:rPr>
            <w:noProof/>
            <w:webHidden/>
          </w:rPr>
          <w:tab/>
        </w:r>
        <w:r>
          <w:rPr>
            <w:noProof/>
            <w:webHidden/>
          </w:rPr>
          <w:fldChar w:fldCharType="begin"/>
        </w:r>
        <w:r>
          <w:rPr>
            <w:noProof/>
            <w:webHidden/>
          </w:rPr>
          <w:instrText xml:space="preserve"> PAGEREF _Toc14590056 \h </w:instrText>
        </w:r>
        <w:r>
          <w:rPr>
            <w:noProof/>
            <w:webHidden/>
          </w:rPr>
        </w:r>
        <w:r>
          <w:rPr>
            <w:noProof/>
            <w:webHidden/>
          </w:rPr>
          <w:fldChar w:fldCharType="separate"/>
        </w:r>
        <w:r>
          <w:rPr>
            <w:noProof/>
            <w:webHidden/>
          </w:rPr>
          <w:t>2</w:t>
        </w:r>
        <w:r>
          <w:rPr>
            <w:noProof/>
            <w:webHidden/>
          </w:rPr>
          <w:fldChar w:fldCharType="end"/>
        </w:r>
      </w:hyperlink>
    </w:p>
    <w:p w14:paraId="21C20564" w14:textId="069869D9" w:rsidR="00434A73" w:rsidRDefault="00434A73">
      <w:pPr>
        <w:pStyle w:val="TOC2"/>
        <w:tabs>
          <w:tab w:val="right" w:leader="dot" w:pos="9010"/>
        </w:tabs>
        <w:rPr>
          <w:rFonts w:eastAsiaTheme="minorEastAsia"/>
          <w:noProof/>
          <w:sz w:val="24"/>
          <w:lang w:eastAsia="en-GB"/>
        </w:rPr>
      </w:pPr>
      <w:hyperlink w:anchor="_Toc14590057" w:history="1">
        <w:r w:rsidRPr="00B937CC">
          <w:rPr>
            <w:rStyle w:val="Hyperlink"/>
            <w:noProof/>
          </w:rPr>
          <w:t>Quota order number origins</w:t>
        </w:r>
        <w:r>
          <w:rPr>
            <w:noProof/>
            <w:webHidden/>
          </w:rPr>
          <w:tab/>
        </w:r>
        <w:r>
          <w:rPr>
            <w:noProof/>
            <w:webHidden/>
          </w:rPr>
          <w:fldChar w:fldCharType="begin"/>
        </w:r>
        <w:r>
          <w:rPr>
            <w:noProof/>
            <w:webHidden/>
          </w:rPr>
          <w:instrText xml:space="preserve"> PAGEREF _Toc14590057 \h </w:instrText>
        </w:r>
        <w:r>
          <w:rPr>
            <w:noProof/>
            <w:webHidden/>
          </w:rPr>
        </w:r>
        <w:r>
          <w:rPr>
            <w:noProof/>
            <w:webHidden/>
          </w:rPr>
          <w:fldChar w:fldCharType="separate"/>
        </w:r>
        <w:r>
          <w:rPr>
            <w:noProof/>
            <w:webHidden/>
          </w:rPr>
          <w:t>3</w:t>
        </w:r>
        <w:r>
          <w:rPr>
            <w:noProof/>
            <w:webHidden/>
          </w:rPr>
          <w:fldChar w:fldCharType="end"/>
        </w:r>
      </w:hyperlink>
    </w:p>
    <w:p w14:paraId="2B558AC5" w14:textId="7DCD089D" w:rsidR="00434A73" w:rsidRDefault="00434A73">
      <w:pPr>
        <w:pStyle w:val="TOC2"/>
        <w:tabs>
          <w:tab w:val="right" w:leader="dot" w:pos="9010"/>
        </w:tabs>
        <w:rPr>
          <w:rFonts w:eastAsiaTheme="minorEastAsia"/>
          <w:noProof/>
          <w:sz w:val="24"/>
          <w:lang w:eastAsia="en-GB"/>
        </w:rPr>
      </w:pPr>
      <w:hyperlink w:anchor="_Toc14590058" w:history="1">
        <w:r w:rsidRPr="00B937CC">
          <w:rPr>
            <w:rStyle w:val="Hyperlink"/>
            <w:noProof/>
          </w:rPr>
          <w:t>Quota definitions</w:t>
        </w:r>
        <w:r>
          <w:rPr>
            <w:noProof/>
            <w:webHidden/>
          </w:rPr>
          <w:tab/>
        </w:r>
        <w:r>
          <w:rPr>
            <w:noProof/>
            <w:webHidden/>
          </w:rPr>
          <w:fldChar w:fldCharType="begin"/>
        </w:r>
        <w:r>
          <w:rPr>
            <w:noProof/>
            <w:webHidden/>
          </w:rPr>
          <w:instrText xml:space="preserve"> PAGEREF _Toc14590058 \h </w:instrText>
        </w:r>
        <w:r>
          <w:rPr>
            <w:noProof/>
            <w:webHidden/>
          </w:rPr>
        </w:r>
        <w:r>
          <w:rPr>
            <w:noProof/>
            <w:webHidden/>
          </w:rPr>
          <w:fldChar w:fldCharType="separate"/>
        </w:r>
        <w:r>
          <w:rPr>
            <w:noProof/>
            <w:webHidden/>
          </w:rPr>
          <w:t>3</w:t>
        </w:r>
        <w:r>
          <w:rPr>
            <w:noProof/>
            <w:webHidden/>
          </w:rPr>
          <w:fldChar w:fldCharType="end"/>
        </w:r>
      </w:hyperlink>
    </w:p>
    <w:p w14:paraId="0BB97F50" w14:textId="3B7A25C2" w:rsidR="00434A73" w:rsidRDefault="00434A73">
      <w:pPr>
        <w:pStyle w:val="TOC2"/>
        <w:tabs>
          <w:tab w:val="right" w:leader="dot" w:pos="9010"/>
        </w:tabs>
        <w:rPr>
          <w:rFonts w:eastAsiaTheme="minorEastAsia"/>
          <w:noProof/>
          <w:sz w:val="24"/>
          <w:lang w:eastAsia="en-GB"/>
        </w:rPr>
      </w:pPr>
      <w:hyperlink w:anchor="_Toc14590059" w:history="1">
        <w:r w:rsidRPr="00B937CC">
          <w:rPr>
            <w:rStyle w:val="Hyperlink"/>
            <w:noProof/>
          </w:rPr>
          <w:t>Quota associations</w:t>
        </w:r>
        <w:r>
          <w:rPr>
            <w:noProof/>
            <w:webHidden/>
          </w:rPr>
          <w:tab/>
        </w:r>
        <w:r>
          <w:rPr>
            <w:noProof/>
            <w:webHidden/>
          </w:rPr>
          <w:fldChar w:fldCharType="begin"/>
        </w:r>
        <w:r>
          <w:rPr>
            <w:noProof/>
            <w:webHidden/>
          </w:rPr>
          <w:instrText xml:space="preserve"> PAGEREF _Toc14590059 \h </w:instrText>
        </w:r>
        <w:r>
          <w:rPr>
            <w:noProof/>
            <w:webHidden/>
          </w:rPr>
        </w:r>
        <w:r>
          <w:rPr>
            <w:noProof/>
            <w:webHidden/>
          </w:rPr>
          <w:fldChar w:fldCharType="separate"/>
        </w:r>
        <w:r>
          <w:rPr>
            <w:noProof/>
            <w:webHidden/>
          </w:rPr>
          <w:t>3</w:t>
        </w:r>
        <w:r>
          <w:rPr>
            <w:noProof/>
            <w:webHidden/>
          </w:rPr>
          <w:fldChar w:fldCharType="end"/>
        </w:r>
      </w:hyperlink>
    </w:p>
    <w:p w14:paraId="6655C812" w14:textId="55A3CC49" w:rsidR="00434A73" w:rsidRDefault="00434A73">
      <w:pPr>
        <w:pStyle w:val="TOC2"/>
        <w:tabs>
          <w:tab w:val="right" w:leader="dot" w:pos="9010"/>
        </w:tabs>
        <w:rPr>
          <w:rFonts w:eastAsiaTheme="minorEastAsia"/>
          <w:noProof/>
          <w:sz w:val="24"/>
          <w:lang w:eastAsia="en-GB"/>
        </w:rPr>
      </w:pPr>
      <w:hyperlink w:anchor="_Toc14590060" w:history="1">
        <w:r w:rsidRPr="00B937CC">
          <w:rPr>
            <w:rStyle w:val="Hyperlink"/>
            <w:noProof/>
          </w:rPr>
          <w:t>Quota suspension periods</w:t>
        </w:r>
        <w:r>
          <w:rPr>
            <w:noProof/>
            <w:webHidden/>
          </w:rPr>
          <w:tab/>
        </w:r>
        <w:r>
          <w:rPr>
            <w:noProof/>
            <w:webHidden/>
          </w:rPr>
          <w:fldChar w:fldCharType="begin"/>
        </w:r>
        <w:r>
          <w:rPr>
            <w:noProof/>
            <w:webHidden/>
          </w:rPr>
          <w:instrText xml:space="preserve"> PAGEREF _Toc14590060 \h </w:instrText>
        </w:r>
        <w:r>
          <w:rPr>
            <w:noProof/>
            <w:webHidden/>
          </w:rPr>
        </w:r>
        <w:r>
          <w:rPr>
            <w:noProof/>
            <w:webHidden/>
          </w:rPr>
          <w:fldChar w:fldCharType="separate"/>
        </w:r>
        <w:r>
          <w:rPr>
            <w:noProof/>
            <w:webHidden/>
          </w:rPr>
          <w:t>3</w:t>
        </w:r>
        <w:r>
          <w:rPr>
            <w:noProof/>
            <w:webHidden/>
          </w:rPr>
          <w:fldChar w:fldCharType="end"/>
        </w:r>
      </w:hyperlink>
    </w:p>
    <w:p w14:paraId="03E95A98" w14:textId="5093ACBF" w:rsidR="00434A73" w:rsidRDefault="00434A73">
      <w:pPr>
        <w:pStyle w:val="TOC2"/>
        <w:tabs>
          <w:tab w:val="right" w:leader="dot" w:pos="9010"/>
        </w:tabs>
        <w:rPr>
          <w:rFonts w:eastAsiaTheme="minorEastAsia"/>
          <w:noProof/>
          <w:sz w:val="24"/>
          <w:lang w:eastAsia="en-GB"/>
        </w:rPr>
      </w:pPr>
      <w:hyperlink w:anchor="_Toc14590061" w:history="1">
        <w:r w:rsidRPr="00B937CC">
          <w:rPr>
            <w:rStyle w:val="Hyperlink"/>
            <w:noProof/>
          </w:rPr>
          <w:t>Quota blocking periods</w:t>
        </w:r>
        <w:r>
          <w:rPr>
            <w:noProof/>
            <w:webHidden/>
          </w:rPr>
          <w:tab/>
        </w:r>
        <w:r>
          <w:rPr>
            <w:noProof/>
            <w:webHidden/>
          </w:rPr>
          <w:fldChar w:fldCharType="begin"/>
        </w:r>
        <w:r>
          <w:rPr>
            <w:noProof/>
            <w:webHidden/>
          </w:rPr>
          <w:instrText xml:space="preserve"> PAGEREF _Toc14590061 \h </w:instrText>
        </w:r>
        <w:r>
          <w:rPr>
            <w:noProof/>
            <w:webHidden/>
          </w:rPr>
        </w:r>
        <w:r>
          <w:rPr>
            <w:noProof/>
            <w:webHidden/>
          </w:rPr>
          <w:fldChar w:fldCharType="separate"/>
        </w:r>
        <w:r>
          <w:rPr>
            <w:noProof/>
            <w:webHidden/>
          </w:rPr>
          <w:t>3</w:t>
        </w:r>
        <w:r>
          <w:rPr>
            <w:noProof/>
            <w:webHidden/>
          </w:rPr>
          <w:fldChar w:fldCharType="end"/>
        </w:r>
      </w:hyperlink>
    </w:p>
    <w:p w14:paraId="7A3D080C" w14:textId="04E3213C" w:rsidR="00F703EE" w:rsidRDefault="003D0B5C" w:rsidP="00F703EE">
      <w:pPr>
        <w:pStyle w:val="Heading1"/>
      </w:pPr>
      <w:r w:rsidRPr="00917310">
        <w:fldChar w:fldCharType="end"/>
      </w:r>
      <w:bookmarkStart w:id="0" w:name="_Toc14590053"/>
      <w:r w:rsidR="00F703EE" w:rsidRPr="00917310">
        <w:t>Introductio</w:t>
      </w:r>
      <w:r w:rsidR="003A3C1B">
        <w:t>n</w:t>
      </w:r>
      <w:bookmarkEnd w:id="0"/>
    </w:p>
    <w:p w14:paraId="2320BF90" w14:textId="04DEC193" w:rsidR="00367EE5" w:rsidRDefault="00367EE5" w:rsidP="00367EE5">
      <w:r>
        <w:t>Quotas are complex data objects that need multiple steps to be undertaken to remove the EU quotas build them back up again for the UK's independent trade policy.</w:t>
      </w:r>
    </w:p>
    <w:p w14:paraId="70B4C7B1" w14:textId="1C59AAB7" w:rsidR="00367EE5" w:rsidRDefault="00367EE5" w:rsidP="00367EE5">
      <w:r>
        <w:t>There are multiple steps involved – the concept for WTO / ATQ quotas and those involved in Trade Agreements is similar but sufficiently different to point out the slight variances.</w:t>
      </w:r>
    </w:p>
    <w:p w14:paraId="492A5796" w14:textId="7F0CD2D9" w:rsidR="00367EE5" w:rsidRDefault="00367EE5" w:rsidP="00367EE5">
      <w:r>
        <w:t>The overall process is as follows – necessary to perform in this order, so as to not break any of the Taric business rules.</w:t>
      </w:r>
    </w:p>
    <w:p w14:paraId="2A01D3FB" w14:textId="4140FE9D" w:rsidR="00367EE5" w:rsidRDefault="00367EE5" w:rsidP="00367EE5">
      <w:pPr>
        <w:pStyle w:val="ListBullet"/>
      </w:pPr>
      <w:r>
        <w:t>Step 1 – Terminate all EU quota definitions</w:t>
      </w:r>
    </w:p>
    <w:p w14:paraId="31FDB899" w14:textId="3DF8CEBF" w:rsidR="00367EE5" w:rsidRDefault="00367EE5" w:rsidP="00367EE5">
      <w:pPr>
        <w:pStyle w:val="ListBullet"/>
      </w:pPr>
      <w:r>
        <w:t>Step 2 – Terminate all EU quota measures</w:t>
      </w:r>
    </w:p>
    <w:p w14:paraId="203E7B09" w14:textId="34BF5F6C" w:rsidR="00367EE5" w:rsidRDefault="00367EE5" w:rsidP="00367EE5">
      <w:pPr>
        <w:pStyle w:val="ListBullet"/>
      </w:pPr>
      <w:r>
        <w:t xml:space="preserve">Step 3 – Reload (together) UK quota measures and </w:t>
      </w:r>
      <w:r w:rsidR="00457BDE">
        <w:t>definitions (as well as quota associations)</w:t>
      </w:r>
    </w:p>
    <w:p w14:paraId="1F7482EF" w14:textId="2E19D2D2" w:rsidR="00457BDE" w:rsidRDefault="00457BDE" w:rsidP="00457BDE">
      <w:pPr>
        <w:pStyle w:val="Heading1"/>
      </w:pPr>
      <w:bookmarkStart w:id="1" w:name="_Toc14590054"/>
      <w:r>
        <w:t>Brief refresher on type of quota</w:t>
      </w:r>
      <w:bookmarkEnd w:id="1"/>
    </w:p>
    <w:p w14:paraId="063C1728" w14:textId="0699A761" w:rsidR="00457BDE" w:rsidRDefault="00457BDE" w:rsidP="00457BDE">
      <w:r>
        <w:t>Quotas can be sliced in two ways:</w:t>
      </w:r>
    </w:p>
    <w:p w14:paraId="4FB6F01B" w14:textId="64BADF74" w:rsidR="00457BDE" w:rsidRDefault="00457BDE" w:rsidP="00457BDE">
      <w:pPr>
        <w:pStyle w:val="ListBullet"/>
      </w:pPr>
      <w:r>
        <w:t>by purpose / legislative instrument</w:t>
      </w:r>
    </w:p>
    <w:p w14:paraId="701B3E9A" w14:textId="6AED1D07" w:rsidR="00457BDE" w:rsidRDefault="00457BDE" w:rsidP="00457BDE">
      <w:pPr>
        <w:pStyle w:val="ListBullet"/>
      </w:pPr>
      <w:r>
        <w:t>by administration method</w:t>
      </w:r>
    </w:p>
    <w:p w14:paraId="627090F6" w14:textId="1569B8E9" w:rsidR="00457BDE" w:rsidRDefault="00457BDE" w:rsidP="00457BDE">
      <w:pPr>
        <w:pStyle w:val="Heading3"/>
      </w:pPr>
      <w:r>
        <w:t>Types of quota by legislative instrument</w:t>
      </w:r>
    </w:p>
    <w:p w14:paraId="13E79212" w14:textId="7E9CA7AE" w:rsidR="00457BDE" w:rsidRDefault="00457BDE" w:rsidP="00457BDE">
      <w:r>
        <w:t xml:space="preserve">There are broadly speaking 3 types of </w:t>
      </w:r>
      <w:r w:rsidR="004A4FC9">
        <w:t>quota that we need to be concerned with:</w:t>
      </w:r>
    </w:p>
    <w:p w14:paraId="5AD9C7DA" w14:textId="7B9D9B9C" w:rsidR="004A4FC9" w:rsidRDefault="004A4FC9" w:rsidP="004A4FC9">
      <w:pPr>
        <w:pStyle w:val="ListBullet"/>
      </w:pPr>
      <w:r w:rsidRPr="004A4FC9">
        <w:rPr>
          <w:b/>
          <w:bCs/>
        </w:rPr>
        <w:t>WTO Quota</w:t>
      </w:r>
      <w:r>
        <w:t xml:space="preserve"> – typically (though not exclusively) assigned to the whole world (</w:t>
      </w:r>
      <w:proofErr w:type="spellStart"/>
      <w:r>
        <w:t>Erga</w:t>
      </w:r>
      <w:proofErr w:type="spellEnd"/>
      <w:r>
        <w:t xml:space="preserve"> </w:t>
      </w:r>
      <w:proofErr w:type="spellStart"/>
      <w:r>
        <w:t>Omnes</w:t>
      </w:r>
      <w:proofErr w:type="spellEnd"/>
      <w:r>
        <w:t xml:space="preserve">), these are lodged with the WTO as part of our overall Tariff submission. The exception is the beef quota, where we have individual quotas with individual countries, as well as a rump quota for </w:t>
      </w:r>
      <w:proofErr w:type="spellStart"/>
      <w:r>
        <w:t>Erga</w:t>
      </w:r>
      <w:proofErr w:type="spellEnd"/>
      <w:r>
        <w:t xml:space="preserve"> </w:t>
      </w:r>
      <w:proofErr w:type="spellStart"/>
      <w:r>
        <w:t>Omnes</w:t>
      </w:r>
      <w:proofErr w:type="spellEnd"/>
    </w:p>
    <w:p w14:paraId="2C2375A8" w14:textId="45B2E700" w:rsidR="004A4FC9" w:rsidRDefault="004A4FC9" w:rsidP="004A4FC9">
      <w:pPr>
        <w:pStyle w:val="ListBullet"/>
      </w:pPr>
      <w:r w:rsidRPr="004A4FC9">
        <w:rPr>
          <w:b/>
          <w:bCs/>
        </w:rPr>
        <w:t>Autonomous Tariff Quota</w:t>
      </w:r>
      <w:r>
        <w:rPr>
          <w:b/>
          <w:bCs/>
        </w:rPr>
        <w:t xml:space="preserve"> (ATQ)</w:t>
      </w:r>
      <w:r>
        <w:t xml:space="preserve"> – these are not submitted to the WTO: we decide on these autonomously (hence the name) without submission as part of our schedule. These are always </w:t>
      </w:r>
      <w:r>
        <w:lastRenderedPageBreak/>
        <w:t xml:space="preserve">used (a little bit like reliefs and suspensions) for goods that are going to be imported and then materially transformed into something else. </w:t>
      </w:r>
    </w:p>
    <w:p w14:paraId="2A07711E" w14:textId="77777777" w:rsidR="004A4FC9" w:rsidRDefault="004A4FC9" w:rsidP="004A4FC9">
      <w:pPr>
        <w:pStyle w:val="ListBullet"/>
      </w:pPr>
      <w:r w:rsidRPr="004A4FC9">
        <w:rPr>
          <w:b/>
          <w:bCs/>
        </w:rPr>
        <w:t>Preferential Quota</w:t>
      </w:r>
      <w:r>
        <w:t xml:space="preserve"> – managed as part of a Trade Agreement, these are always ranged against an individual country or trading bloc.</w:t>
      </w:r>
    </w:p>
    <w:p w14:paraId="6ACB3CBE" w14:textId="1F112E73" w:rsidR="004A4FC9" w:rsidRPr="00457BDE" w:rsidRDefault="004A4FC9" w:rsidP="004A4FC9">
      <w:r>
        <w:t>In actual fact, for the purposes of data load and migration, the difference between ATQ and WTO quota is negligible, and we deal with these as if they were one type.</w:t>
      </w:r>
    </w:p>
    <w:p w14:paraId="1409F336" w14:textId="4364FE3C" w:rsidR="00457BDE" w:rsidRPr="00457BDE" w:rsidRDefault="00457BDE" w:rsidP="00E37A90">
      <w:pPr>
        <w:pStyle w:val="Heading3"/>
      </w:pPr>
      <w:r>
        <w:t xml:space="preserve">Types of quota by </w:t>
      </w:r>
      <w:r>
        <w:t>administration method</w:t>
      </w:r>
    </w:p>
    <w:p w14:paraId="2FB98580" w14:textId="742D2961" w:rsidR="00457BDE" w:rsidRDefault="004A4FC9" w:rsidP="00457BDE">
      <w:r>
        <w:t>There are 2 ways of administering quotas:</w:t>
      </w:r>
    </w:p>
    <w:p w14:paraId="039951AC" w14:textId="7B8E51F0" w:rsidR="004A4FC9" w:rsidRDefault="004A4FC9" w:rsidP="004A4FC9">
      <w:pPr>
        <w:pStyle w:val="ListBullet"/>
      </w:pPr>
      <w:r w:rsidRPr="004A4FC9">
        <w:rPr>
          <w:b/>
          <w:bCs/>
        </w:rPr>
        <w:t>First Come First Served</w:t>
      </w:r>
      <w:r>
        <w:t xml:space="preserve"> – an initial balance is set up, then once the quota goes live, traders draw down on that balance until it is exhausted. The majority of quotas are set up in this way. An important distinction for us here is that all data that is set up in TAP by DIT is sent to HMRC's CDS system</w:t>
      </w:r>
    </w:p>
    <w:p w14:paraId="3D6AFAD6" w14:textId="6A6F1097" w:rsidR="004A4FC9" w:rsidRPr="00457BDE" w:rsidRDefault="004A4FC9" w:rsidP="004A4FC9">
      <w:pPr>
        <w:pStyle w:val="ListBullet"/>
      </w:pPr>
      <w:r w:rsidRPr="004A4FC9">
        <w:rPr>
          <w:b/>
          <w:bCs/>
        </w:rPr>
        <w:t>Licensed quotas</w:t>
      </w:r>
      <w:r>
        <w:t xml:space="preserve"> – traders wanting to take advantage of licensed quotas need to apply directly to the Rural Payments Agency (RPA) to get a piece of the pie for licensed quotas. Though there is an initial balance for licensed quotas, we do not manage it in TAP. The only data that is sent to CDS is the measures associated with the quota, not the quota itself or its definitions.</w:t>
      </w:r>
    </w:p>
    <w:p w14:paraId="2CBC8242" w14:textId="4E9E06B7" w:rsidR="00457BDE" w:rsidRDefault="00457BDE" w:rsidP="00457BDE">
      <w:pPr>
        <w:pStyle w:val="Heading1"/>
      </w:pPr>
      <w:bookmarkStart w:id="2" w:name="_Toc14590055"/>
      <w:r>
        <w:t>Brief refresher on the quota data objects</w:t>
      </w:r>
      <w:bookmarkEnd w:id="2"/>
    </w:p>
    <w:p w14:paraId="32564930" w14:textId="4A6EC048" w:rsidR="00457BDE" w:rsidRDefault="00457BDE" w:rsidP="00457BDE">
      <w:r>
        <w:t>The following objects are used in managing quotas in the Tariff database:</w:t>
      </w:r>
    </w:p>
    <w:p w14:paraId="15D36FC3" w14:textId="6FA8583B" w:rsidR="00457BDE" w:rsidRDefault="00457BDE" w:rsidP="00457BDE">
      <w:r>
        <w:rPr>
          <w:noProof/>
        </w:rPr>
        <w:drawing>
          <wp:inline distT="0" distB="0" distL="0" distR="0" wp14:anchorId="4C84ADDC" wp14:editId="5EDFA09D">
            <wp:extent cx="5420268" cy="232784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ging quotas data model.png"/>
                    <pic:cNvPicPr/>
                  </pic:nvPicPr>
                  <pic:blipFill rotWithShape="1">
                    <a:blip r:embed="rId8">
                      <a:extLst>
                        <a:ext uri="{28A0092B-C50C-407E-A947-70E740481C1C}">
                          <a14:useLocalDpi xmlns:a14="http://schemas.microsoft.com/office/drawing/2010/main" val="0"/>
                        </a:ext>
                      </a:extLst>
                    </a:blip>
                    <a:srcRect l="13997" t="10241" r="22764" b="41478"/>
                    <a:stretch/>
                  </pic:blipFill>
                  <pic:spPr bwMode="auto">
                    <a:xfrm>
                      <a:off x="0" y="0"/>
                      <a:ext cx="5450446" cy="2340810"/>
                    </a:xfrm>
                    <a:prstGeom prst="rect">
                      <a:avLst/>
                    </a:prstGeom>
                    <a:ln>
                      <a:noFill/>
                    </a:ln>
                    <a:extLst>
                      <a:ext uri="{53640926-AAD7-44D8-BBD7-CCE9431645EC}">
                        <a14:shadowObscured xmlns:a14="http://schemas.microsoft.com/office/drawing/2010/main"/>
                      </a:ext>
                    </a:extLst>
                  </pic:spPr>
                </pic:pic>
              </a:graphicData>
            </a:graphic>
          </wp:inline>
        </w:drawing>
      </w:r>
    </w:p>
    <w:p w14:paraId="284DD5B5" w14:textId="56666535" w:rsidR="00457BDE" w:rsidRDefault="00457BDE" w:rsidP="00457BDE">
      <w:pPr>
        <w:pStyle w:val="Heading2"/>
      </w:pPr>
      <w:bookmarkStart w:id="3" w:name="_Toc14590056"/>
      <w:r>
        <w:t>Quota order numbers</w:t>
      </w:r>
      <w:bookmarkEnd w:id="3"/>
    </w:p>
    <w:p w14:paraId="31458589" w14:textId="3BA31AE8" w:rsidR="00457BDE" w:rsidRDefault="00457BDE" w:rsidP="00457BDE">
      <w:r>
        <w:t>The core defining object with regard to quotas, the quota order number table is a very simple table which maintains the 6-digit order number and the validity start and end dates for that quota. The 6-digit order number always begins with "09". If the quota is a licensed quota, then the third digit is always a "4". If not a licensed quota, then the third digit can be any number.</w:t>
      </w:r>
    </w:p>
    <w:p w14:paraId="7B4BFC09" w14:textId="0499BAE2" w:rsidR="004A4FC9" w:rsidRDefault="004A4FC9" w:rsidP="00457BDE">
      <w:r>
        <w:lastRenderedPageBreak/>
        <w:t>For licensed quotas, we do not send any values in the quota order number table to CDS. TAP and CDS should never contain any quotas whose order numbers commence "094", though such quotas are referenced in the measures table.</w:t>
      </w:r>
    </w:p>
    <w:p w14:paraId="0D498843" w14:textId="64917AAD" w:rsidR="004A4FC9" w:rsidRDefault="004A4FC9" w:rsidP="004A4FC9">
      <w:pPr>
        <w:pStyle w:val="Heading2"/>
      </w:pPr>
      <w:bookmarkStart w:id="4" w:name="_Toc14590057"/>
      <w:proofErr w:type="spellStart"/>
      <w:r>
        <w:t>Quota</w:t>
      </w:r>
      <w:proofErr w:type="spellEnd"/>
      <w:r>
        <w:t xml:space="preserve"> order number origins</w:t>
      </w:r>
      <w:bookmarkEnd w:id="4"/>
    </w:p>
    <w:p w14:paraId="3C1C36A9" w14:textId="7CD8109D" w:rsidR="004A4FC9" w:rsidRPr="004A4FC9" w:rsidRDefault="004A4FC9" w:rsidP="004A4FC9">
      <w:r>
        <w:t xml:space="preserve">All quota order numbers are assigned to one or more countries or trading blocs – this is mirrored in both the quota order number's relationship to quota order numbers, and in the related measure's reference to a single </w:t>
      </w:r>
      <w:proofErr w:type="spellStart"/>
      <w:r>
        <w:t>geographical_area_id</w:t>
      </w:r>
      <w:proofErr w:type="spellEnd"/>
      <w:r>
        <w:t xml:space="preserve"> in the measures table.</w:t>
      </w:r>
    </w:p>
    <w:p w14:paraId="18A33171" w14:textId="080264A7" w:rsidR="004A4FC9" w:rsidRDefault="004A4FC9" w:rsidP="004A4FC9">
      <w:pPr>
        <w:pStyle w:val="Heading2"/>
      </w:pPr>
      <w:bookmarkStart w:id="5" w:name="_Toc14590058"/>
      <w:r>
        <w:t xml:space="preserve">Quota </w:t>
      </w:r>
      <w:r w:rsidRPr="004A4FC9">
        <w:t>definitions</w:t>
      </w:r>
      <w:bookmarkEnd w:id="5"/>
    </w:p>
    <w:p w14:paraId="5EDC19D5" w14:textId="7C5D05D5" w:rsidR="004A4FC9" w:rsidRDefault="004A4FC9" w:rsidP="004A4FC9">
      <w:r>
        <w:t>This is where most of the work is done with quotas. A quota definition represents a period of time (for example a year) for which a quota runs and for which there is a</w:t>
      </w:r>
      <w:r w:rsidR="00434A73">
        <w:t>n opening balance available.</w:t>
      </w:r>
    </w:p>
    <w:p w14:paraId="17B5CA25" w14:textId="51C6B9D5" w:rsidR="00434A73" w:rsidRPr="004A4FC9" w:rsidRDefault="00434A73" w:rsidP="004A4FC9">
      <w:r>
        <w:t>We do not manage quota definitions for licensed quotas.</w:t>
      </w:r>
    </w:p>
    <w:p w14:paraId="5A034CF4" w14:textId="4FD40F1F" w:rsidR="004A4FC9" w:rsidRDefault="004A4FC9" w:rsidP="004A4FC9">
      <w:pPr>
        <w:pStyle w:val="Heading2"/>
      </w:pPr>
      <w:bookmarkStart w:id="6" w:name="_Toc14590059"/>
      <w:r>
        <w:t>Quota associations</w:t>
      </w:r>
      <w:bookmarkEnd w:id="6"/>
    </w:p>
    <w:p w14:paraId="155503F0" w14:textId="147A267B" w:rsidR="00434A73" w:rsidRPr="00434A73" w:rsidRDefault="00434A73" w:rsidP="00434A73">
      <w:r>
        <w:t>For some quotas, there is an association between a parent and child quota – when a trader decrements the balance of a child quota, this also decrements the balance of the parent. This is especially prevalent with the WTO beef quotas, but also in the infamous Moroccan tomato quota, which is expected to be discontinued.</w:t>
      </w:r>
    </w:p>
    <w:p w14:paraId="400D3042" w14:textId="72DA6E51" w:rsidR="004A4FC9" w:rsidRDefault="004A4FC9" w:rsidP="004A4FC9">
      <w:pPr>
        <w:pStyle w:val="Heading2"/>
      </w:pPr>
      <w:bookmarkStart w:id="7" w:name="_Toc14590060"/>
      <w:r>
        <w:t>Quota suspension periods</w:t>
      </w:r>
      <w:bookmarkEnd w:id="7"/>
    </w:p>
    <w:p w14:paraId="40C70506" w14:textId="0E1129A3" w:rsidR="00434A73" w:rsidRPr="00434A73" w:rsidRDefault="00434A73" w:rsidP="00434A73">
      <w:r>
        <w:t>If there is a need to temporarily suspend a quota (e.g. there is no value in running it as the MFN is zero and the administrative costs of doing so make it worthless), then a record is created here.</w:t>
      </w:r>
    </w:p>
    <w:p w14:paraId="7AB9841F" w14:textId="042B113B" w:rsidR="004A4FC9" w:rsidRDefault="004A4FC9" w:rsidP="004A4FC9">
      <w:pPr>
        <w:pStyle w:val="Heading2"/>
      </w:pPr>
      <w:bookmarkStart w:id="8" w:name="_Toc14590061"/>
      <w:r>
        <w:t>Quota blocking periods</w:t>
      </w:r>
      <w:bookmarkEnd w:id="8"/>
    </w:p>
    <w:p w14:paraId="67A5B185" w14:textId="2D22F8A1" w:rsidR="004A4FC9" w:rsidRDefault="00434A73" w:rsidP="00457BDE">
      <w:r>
        <w:t xml:space="preserve">If there is a need to temporarily </w:t>
      </w:r>
      <w:r>
        <w:t>block traders from applying to use</w:t>
      </w:r>
      <w:r>
        <w:t xml:space="preserve"> a quota, then a record is created here.</w:t>
      </w:r>
    </w:p>
    <w:p w14:paraId="1A0605B9" w14:textId="77777777" w:rsidR="00E37A90" w:rsidRDefault="00E37A90">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31A8F7F4" w14:textId="0132EEF6" w:rsidR="00E37A90" w:rsidRDefault="00E37A90" w:rsidP="00E37A90">
      <w:pPr>
        <w:pStyle w:val="Heading1"/>
      </w:pPr>
      <w:r>
        <w:lastRenderedPageBreak/>
        <w:t>Process steps in detail</w:t>
      </w:r>
    </w:p>
    <w:p w14:paraId="386A09B6" w14:textId="783F6B05" w:rsidR="00E37A90" w:rsidRDefault="00E37A90" w:rsidP="00E37A90">
      <w:pPr>
        <w:pStyle w:val="Heading2"/>
      </w:pPr>
      <w:r>
        <w:t>Terminating quota definitions</w:t>
      </w:r>
    </w:p>
    <w:p w14:paraId="33F99C06" w14:textId="199307D0" w:rsidR="00E37A90" w:rsidRDefault="00E37A90" w:rsidP="00E37A90">
      <w:r>
        <w:t>The purpose of this step is to ensure that the data that is pertinent to the UK's independent trade policy on 1</w:t>
      </w:r>
      <w:r w:rsidRPr="00E37A90">
        <w:rPr>
          <w:vertAlign w:val="superscript"/>
        </w:rPr>
        <w:t>st</w:t>
      </w:r>
      <w:r>
        <w:t xml:space="preserve"> November is 100% brand new and not intermingled with any data that is hung over from the EU's trade policy.</w:t>
      </w:r>
    </w:p>
    <w:p w14:paraId="389F829E" w14:textId="5C8CE40F" w:rsidR="00E37A90" w:rsidRDefault="00E37A90" w:rsidP="00E37A90">
      <w:r>
        <w:t>The way to do this is to end-date all definitions in the entire database that would otherwise have straddled the 1</w:t>
      </w:r>
      <w:r w:rsidRPr="00E37A90">
        <w:rPr>
          <w:vertAlign w:val="superscript"/>
        </w:rPr>
        <w:t>st</w:t>
      </w:r>
      <w:r>
        <w:t xml:space="preserve"> November deadline and to delete completely and definitions that would have started after November 1</w:t>
      </w:r>
      <w:r w:rsidRPr="00E37A90">
        <w:rPr>
          <w:vertAlign w:val="superscript"/>
        </w:rPr>
        <w:t>st</w:t>
      </w:r>
      <w:r>
        <w:t>. In deleting such future definitions, future associations and blocking / suspension periods are also deleted.</w:t>
      </w:r>
    </w:p>
    <w:p w14:paraId="2415FD40" w14:textId="46F57AD9" w:rsidR="00E37A90" w:rsidRDefault="00E37A90" w:rsidP="00E37A90">
      <w:r>
        <w:t>There is a single script to perform these tasks, located in the "</w:t>
      </w:r>
      <w:proofErr w:type="spellStart"/>
      <w:r w:rsidRPr="00E37A90">
        <w:rPr>
          <w:b/>
          <w:bCs/>
        </w:rPr>
        <w:t>migrate_measures_and_quotas</w:t>
      </w:r>
      <w:proofErr w:type="spellEnd"/>
      <w:r>
        <w:t>" folder. It is run by calling the following command line script:</w:t>
      </w:r>
    </w:p>
    <w:p w14:paraId="5276B7F0" w14:textId="5E406FFC" w:rsidR="00E37A90" w:rsidRDefault="00E37A90" w:rsidP="00E37A90">
      <w:pPr>
        <w:pStyle w:val="Code"/>
      </w:pPr>
      <w:r w:rsidRPr="00E37A90">
        <w:t>terminate_quota_definitions.py</w:t>
      </w:r>
    </w:p>
    <w:p w14:paraId="499094E0" w14:textId="77777777" w:rsidR="00E37A90" w:rsidRDefault="00E37A90" w:rsidP="00E37A90">
      <w:pPr>
        <w:pStyle w:val="Tight"/>
      </w:pPr>
    </w:p>
    <w:p w14:paraId="6914F75A" w14:textId="710FB029" w:rsidR="00E37A90" w:rsidRPr="00E37A90" w:rsidRDefault="00E37A90" w:rsidP="00E37A90">
      <w:r>
        <w:t xml:space="preserve">This script created a file entitled </w:t>
      </w:r>
      <w:r w:rsidRPr="00E37A90">
        <w:t>terminate_quota_definitions.xml</w:t>
      </w:r>
      <w:r>
        <w:t xml:space="preserve"> in the </w:t>
      </w:r>
      <w:r w:rsidRPr="00E37A90">
        <w:rPr>
          <w:b/>
          <w:bCs/>
        </w:rPr>
        <w:t>/</w:t>
      </w:r>
      <w:proofErr w:type="spellStart"/>
      <w:r w:rsidRPr="00E37A90">
        <w:rPr>
          <w:b/>
          <w:bCs/>
        </w:rPr>
        <w:t>xml_out</w:t>
      </w:r>
      <w:proofErr w:type="spellEnd"/>
      <w:r>
        <w:t xml:space="preserve"> subfolder.</w:t>
      </w:r>
      <w:bookmarkStart w:id="9" w:name="_GoBack"/>
      <w:bookmarkEnd w:id="9"/>
    </w:p>
    <w:p w14:paraId="17C5F669" w14:textId="3C0625D7" w:rsidR="00E37A90" w:rsidRDefault="00E37A90" w:rsidP="00E37A90">
      <w:pPr>
        <w:pStyle w:val="Heading2"/>
      </w:pPr>
      <w:r>
        <w:t>Terminating quota measures</w:t>
      </w:r>
    </w:p>
    <w:p w14:paraId="52E66EDD" w14:textId="6D37F23E" w:rsidR="00E37A90" w:rsidRDefault="00E37A90" w:rsidP="00E37A90"/>
    <w:p w14:paraId="16552C30" w14:textId="77777777" w:rsidR="00E37A90" w:rsidRPr="00E37A90" w:rsidRDefault="00E37A90" w:rsidP="00E37A90"/>
    <w:sectPr w:rsidR="00E37A90" w:rsidRPr="00E37A90" w:rsidSect="00D900FE">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521D9" w14:textId="77777777" w:rsidR="005E0A41" w:rsidRDefault="005E0A41" w:rsidP="00A65064">
      <w:pPr>
        <w:spacing w:after="0" w:line="240" w:lineRule="auto"/>
      </w:pPr>
      <w:r>
        <w:separator/>
      </w:r>
    </w:p>
  </w:endnote>
  <w:endnote w:type="continuationSeparator" w:id="0">
    <w:p w14:paraId="1EF7079A" w14:textId="77777777" w:rsidR="005E0A41" w:rsidRDefault="005E0A41" w:rsidP="00A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3569" w14:textId="31090F73" w:rsidR="008E2A92" w:rsidRDefault="008E2A92">
    <w:pPr>
      <w:pStyle w:val="Footer"/>
    </w:pPr>
    <w:r>
      <w:t xml:space="preserve">Page </w:t>
    </w:r>
    <w:r>
      <w:fldChar w:fldCharType="begin"/>
    </w:r>
    <w:r>
      <w:instrText xml:space="preserve"> PAGE  \* MERGEFORMAT </w:instrText>
    </w:r>
    <w:r>
      <w:fldChar w:fldCharType="separate"/>
    </w:r>
    <w:r>
      <w:rPr>
        <w:noProof/>
      </w:rPr>
      <w:t>10</w:t>
    </w:r>
    <w:r>
      <w:fldChar w:fldCharType="end"/>
    </w:r>
    <w:r>
      <w:t xml:space="preserve"> of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2B7CE" w14:textId="77777777" w:rsidR="005E0A41" w:rsidRDefault="005E0A41" w:rsidP="00A65064">
      <w:pPr>
        <w:spacing w:after="0" w:line="240" w:lineRule="auto"/>
      </w:pPr>
      <w:r>
        <w:separator/>
      </w:r>
    </w:p>
  </w:footnote>
  <w:footnote w:type="continuationSeparator" w:id="0">
    <w:p w14:paraId="62FF70F9" w14:textId="77777777" w:rsidR="005E0A41" w:rsidRDefault="005E0A41" w:rsidP="00A6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A11F" w14:textId="511BF414" w:rsidR="008E2A92" w:rsidRDefault="008E2A92" w:rsidP="002A1EE2">
    <w:pPr>
      <w:pStyle w:val="Header"/>
    </w:pPr>
    <w:r>
      <w:t xml:space="preserve">Tariff Data Creation Documentation – </w:t>
    </w:r>
    <w:r w:rsidR="00367EE5">
      <w:t>Migrating Quotas</w:t>
    </w:r>
  </w:p>
  <w:p w14:paraId="3EA9D773" w14:textId="77777777" w:rsidR="008E2A92" w:rsidRDefault="008E2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3442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AE14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6608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238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9E76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40C1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C6C4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344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CEA6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09000F"/>
    <w:lvl w:ilvl="0">
      <w:start w:val="1"/>
      <w:numFmt w:val="decimal"/>
      <w:lvlText w:val="%1."/>
      <w:lvlJc w:val="left"/>
      <w:pPr>
        <w:ind w:left="360" w:hanging="360"/>
      </w:pPr>
      <w:rPr>
        <w:rFonts w:hint="default"/>
      </w:rPr>
    </w:lvl>
  </w:abstractNum>
  <w:abstractNum w:abstractNumId="10" w15:restartNumberingAfterBreak="0">
    <w:nsid w:val="5B175CC3"/>
    <w:multiLevelType w:val="hybridMultilevel"/>
    <w:tmpl w:val="EC168A9E"/>
    <w:lvl w:ilvl="0" w:tplc="4F6421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72AC4"/>
    <w:multiLevelType w:val="hybridMultilevel"/>
    <w:tmpl w:val="B0647752"/>
    <w:lvl w:ilvl="0" w:tplc="8F26065E">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CA4911"/>
    <w:multiLevelType w:val="hybridMultilevel"/>
    <w:tmpl w:val="CE96ED44"/>
    <w:lvl w:ilvl="0" w:tplc="57C6CEEC">
      <w:start w:val="20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8E"/>
    <w:rsid w:val="00040CA8"/>
    <w:rsid w:val="00044379"/>
    <w:rsid w:val="00072ED7"/>
    <w:rsid w:val="00083FDA"/>
    <w:rsid w:val="00085F3E"/>
    <w:rsid w:val="000B1253"/>
    <w:rsid w:val="000E7FD1"/>
    <w:rsid w:val="00101BEA"/>
    <w:rsid w:val="001632E9"/>
    <w:rsid w:val="001639B7"/>
    <w:rsid w:val="001C75D1"/>
    <w:rsid w:val="0025399A"/>
    <w:rsid w:val="00264811"/>
    <w:rsid w:val="00277152"/>
    <w:rsid w:val="00292F23"/>
    <w:rsid w:val="002A1EE2"/>
    <w:rsid w:val="002A3778"/>
    <w:rsid w:val="00350A73"/>
    <w:rsid w:val="00353FA7"/>
    <w:rsid w:val="00367EE5"/>
    <w:rsid w:val="003A3C1B"/>
    <w:rsid w:val="003D0B5C"/>
    <w:rsid w:val="00415248"/>
    <w:rsid w:val="00434A73"/>
    <w:rsid w:val="0044784D"/>
    <w:rsid w:val="00457BDE"/>
    <w:rsid w:val="0049797C"/>
    <w:rsid w:val="004A4FC9"/>
    <w:rsid w:val="004B239E"/>
    <w:rsid w:val="004B2A7E"/>
    <w:rsid w:val="00510E55"/>
    <w:rsid w:val="00513A5C"/>
    <w:rsid w:val="00525FC5"/>
    <w:rsid w:val="00541096"/>
    <w:rsid w:val="005B0164"/>
    <w:rsid w:val="005E0A41"/>
    <w:rsid w:val="00646030"/>
    <w:rsid w:val="00650A08"/>
    <w:rsid w:val="00664FDE"/>
    <w:rsid w:val="0066680B"/>
    <w:rsid w:val="0067196B"/>
    <w:rsid w:val="00671D79"/>
    <w:rsid w:val="00681450"/>
    <w:rsid w:val="006C4D60"/>
    <w:rsid w:val="006E46D1"/>
    <w:rsid w:val="007079E7"/>
    <w:rsid w:val="0071699B"/>
    <w:rsid w:val="0074357B"/>
    <w:rsid w:val="0074502B"/>
    <w:rsid w:val="0079167F"/>
    <w:rsid w:val="007B007D"/>
    <w:rsid w:val="007B56F1"/>
    <w:rsid w:val="007C476D"/>
    <w:rsid w:val="007D26D8"/>
    <w:rsid w:val="007D318A"/>
    <w:rsid w:val="008106E3"/>
    <w:rsid w:val="00826295"/>
    <w:rsid w:val="00874CB9"/>
    <w:rsid w:val="008B59B7"/>
    <w:rsid w:val="008C0580"/>
    <w:rsid w:val="008E2A92"/>
    <w:rsid w:val="008F6198"/>
    <w:rsid w:val="00917310"/>
    <w:rsid w:val="009303ED"/>
    <w:rsid w:val="00930E69"/>
    <w:rsid w:val="00961442"/>
    <w:rsid w:val="009B008E"/>
    <w:rsid w:val="00A65064"/>
    <w:rsid w:val="00A777B7"/>
    <w:rsid w:val="00A9235B"/>
    <w:rsid w:val="00B3753B"/>
    <w:rsid w:val="00B55C2C"/>
    <w:rsid w:val="00B56D77"/>
    <w:rsid w:val="00B7331B"/>
    <w:rsid w:val="00B829A0"/>
    <w:rsid w:val="00BB2887"/>
    <w:rsid w:val="00BB6909"/>
    <w:rsid w:val="00BD15D5"/>
    <w:rsid w:val="00BE0BE5"/>
    <w:rsid w:val="00BF3B61"/>
    <w:rsid w:val="00C107F4"/>
    <w:rsid w:val="00C445AE"/>
    <w:rsid w:val="00C473F9"/>
    <w:rsid w:val="00C61D2F"/>
    <w:rsid w:val="00C639B1"/>
    <w:rsid w:val="00CA5F13"/>
    <w:rsid w:val="00D1213E"/>
    <w:rsid w:val="00D406ED"/>
    <w:rsid w:val="00D43A7B"/>
    <w:rsid w:val="00D5302F"/>
    <w:rsid w:val="00D65002"/>
    <w:rsid w:val="00D65C84"/>
    <w:rsid w:val="00D83396"/>
    <w:rsid w:val="00D900FE"/>
    <w:rsid w:val="00D91B39"/>
    <w:rsid w:val="00D95D8B"/>
    <w:rsid w:val="00E37A90"/>
    <w:rsid w:val="00E429D6"/>
    <w:rsid w:val="00E527BC"/>
    <w:rsid w:val="00EC4CDF"/>
    <w:rsid w:val="00EC5955"/>
    <w:rsid w:val="00EF066B"/>
    <w:rsid w:val="00F43BA0"/>
    <w:rsid w:val="00F55F2F"/>
    <w:rsid w:val="00F703EE"/>
    <w:rsid w:val="00FB5C8B"/>
    <w:rsid w:val="00FD4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B68C4"/>
  <w15:chartTrackingRefBased/>
  <w15:docId w15:val="{768FF290-D491-1840-8B13-DB6036AE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10"/>
    <w:pPr>
      <w:spacing w:after="240" w:line="288" w:lineRule="auto"/>
      <w:jc w:val="both"/>
    </w:pPr>
    <w:rPr>
      <w:sz w:val="22"/>
    </w:rPr>
  </w:style>
  <w:style w:type="paragraph" w:styleId="Heading1">
    <w:name w:val="heading 1"/>
    <w:basedOn w:val="Normal"/>
    <w:next w:val="Normal"/>
    <w:link w:val="Heading1Char"/>
    <w:uiPriority w:val="9"/>
    <w:qFormat/>
    <w:rsid w:val="00F70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9B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3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Table">
    <w:name w:val="Normal in Table"/>
    <w:basedOn w:val="Normal"/>
    <w:qFormat/>
    <w:rsid w:val="00F703EE"/>
    <w:pPr>
      <w:spacing w:before="40" w:after="40" w:line="240" w:lineRule="auto"/>
      <w:jc w:val="left"/>
    </w:pPr>
  </w:style>
  <w:style w:type="table" w:styleId="ListTable3">
    <w:name w:val="List Table 3"/>
    <w:basedOn w:val="TableNormal"/>
    <w:uiPriority w:val="48"/>
    <w:rsid w:val="00F703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2Char">
    <w:name w:val="Heading 2 Char"/>
    <w:basedOn w:val="DefaultParagraphFont"/>
    <w:link w:val="Heading2"/>
    <w:uiPriority w:val="9"/>
    <w:rsid w:val="00F703EE"/>
    <w:rPr>
      <w:rFonts w:asciiTheme="majorHAnsi" w:eastAsiaTheme="majorEastAsia" w:hAnsiTheme="majorHAnsi" w:cstheme="majorBidi"/>
      <w:color w:val="2F5496" w:themeColor="accent1" w:themeShade="BF"/>
      <w:sz w:val="26"/>
      <w:szCs w:val="26"/>
    </w:rPr>
  </w:style>
  <w:style w:type="paragraph" w:customStyle="1" w:styleId="Tight">
    <w:name w:val="Tight"/>
    <w:basedOn w:val="Normal"/>
    <w:qFormat/>
    <w:rsid w:val="0066680B"/>
    <w:pPr>
      <w:spacing w:after="0"/>
    </w:pPr>
  </w:style>
  <w:style w:type="paragraph" w:styleId="ListBullet">
    <w:name w:val="List Bullet"/>
    <w:basedOn w:val="Normal"/>
    <w:uiPriority w:val="99"/>
    <w:unhideWhenUsed/>
    <w:rsid w:val="004A4FC9"/>
    <w:pPr>
      <w:numPr>
        <w:numId w:val="13"/>
      </w:numPr>
      <w:ind w:left="284" w:hanging="284"/>
      <w:contextualSpacing/>
      <w:jc w:val="left"/>
    </w:pPr>
  </w:style>
  <w:style w:type="paragraph" w:styleId="TOC1">
    <w:name w:val="toc 1"/>
    <w:basedOn w:val="Normal"/>
    <w:next w:val="Normal"/>
    <w:autoRedefine/>
    <w:uiPriority w:val="39"/>
    <w:unhideWhenUsed/>
    <w:rsid w:val="005B0164"/>
    <w:pPr>
      <w:spacing w:after="100"/>
    </w:pPr>
    <w:rPr>
      <w:b/>
    </w:rPr>
  </w:style>
  <w:style w:type="paragraph" w:styleId="TOC2">
    <w:name w:val="toc 2"/>
    <w:basedOn w:val="Normal"/>
    <w:next w:val="Normal"/>
    <w:autoRedefine/>
    <w:uiPriority w:val="39"/>
    <w:unhideWhenUsed/>
    <w:rsid w:val="003A3C1B"/>
    <w:pPr>
      <w:spacing w:after="100"/>
      <w:ind w:left="221"/>
      <w:contextualSpacing/>
    </w:pPr>
  </w:style>
  <w:style w:type="character" w:styleId="Hyperlink">
    <w:name w:val="Hyperlink"/>
    <w:basedOn w:val="DefaultParagraphFont"/>
    <w:uiPriority w:val="99"/>
    <w:unhideWhenUsed/>
    <w:rsid w:val="003D0B5C"/>
    <w:rPr>
      <w:color w:val="0563C1" w:themeColor="hyperlink"/>
      <w:u w:val="single"/>
    </w:rPr>
  </w:style>
  <w:style w:type="paragraph" w:customStyle="1" w:styleId="Important">
    <w:name w:val="Important"/>
    <w:basedOn w:val="Normal"/>
    <w:qFormat/>
    <w:rsid w:val="00681450"/>
    <w:pPr>
      <w:keepLines/>
      <w:pBdr>
        <w:top w:val="single" w:sz="48" w:space="1" w:color="DEEAF6" w:themeColor="accent5" w:themeTint="33"/>
        <w:left w:val="single" w:sz="48" w:space="4" w:color="DEEAF6" w:themeColor="accent5" w:themeTint="33"/>
        <w:bottom w:val="single" w:sz="48" w:space="1" w:color="DEEAF6" w:themeColor="accent5" w:themeTint="33"/>
        <w:right w:val="single" w:sz="48" w:space="4" w:color="DEEAF6" w:themeColor="accent5" w:themeTint="33"/>
      </w:pBdr>
      <w:shd w:val="clear" w:color="auto" w:fill="DEEAF6" w:themeFill="accent5" w:themeFillTint="33"/>
      <w:jc w:val="left"/>
    </w:pPr>
  </w:style>
  <w:style w:type="paragraph" w:customStyle="1" w:styleId="Code">
    <w:name w:val="Code"/>
    <w:basedOn w:val="Normal"/>
    <w:qFormat/>
    <w:rsid w:val="00292F23"/>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40" w:after="40"/>
      <w:jc w:val="left"/>
    </w:pPr>
    <w:rPr>
      <w:rFonts w:ascii="Courier New" w:hAnsi="Courier New"/>
      <w:noProof/>
      <w:sz w:val="18"/>
    </w:rPr>
  </w:style>
  <w:style w:type="character" w:customStyle="1" w:styleId="Heading3Char">
    <w:name w:val="Heading 3 Char"/>
    <w:basedOn w:val="DefaultParagraphFont"/>
    <w:link w:val="Heading3"/>
    <w:uiPriority w:val="9"/>
    <w:rsid w:val="001639B7"/>
    <w:rPr>
      <w:rFonts w:asciiTheme="majorHAnsi" w:eastAsiaTheme="majorEastAsia" w:hAnsiTheme="majorHAnsi" w:cstheme="majorBidi"/>
      <w:color w:val="1F3763" w:themeColor="accent1" w:themeShade="7F"/>
    </w:rPr>
  </w:style>
  <w:style w:type="paragraph" w:customStyle="1" w:styleId="ListBulletinTable">
    <w:name w:val="List Bullet in Table"/>
    <w:basedOn w:val="ListBullet"/>
    <w:qFormat/>
    <w:rsid w:val="00BF3B61"/>
    <w:pPr>
      <w:spacing w:before="40" w:after="40" w:line="264" w:lineRule="auto"/>
    </w:pPr>
  </w:style>
  <w:style w:type="paragraph" w:styleId="ListBullet2">
    <w:name w:val="List Bullet 2"/>
    <w:basedOn w:val="Normal"/>
    <w:uiPriority w:val="99"/>
    <w:unhideWhenUsed/>
    <w:rsid w:val="00D83396"/>
    <w:pPr>
      <w:numPr>
        <w:numId w:val="9"/>
      </w:numPr>
      <w:contextualSpacing/>
    </w:pPr>
  </w:style>
  <w:style w:type="paragraph" w:customStyle="1" w:styleId="ListBullet2inTable">
    <w:name w:val="List Bullet 2 in Table"/>
    <w:basedOn w:val="ListBullet2"/>
    <w:qFormat/>
    <w:rsid w:val="00D65002"/>
    <w:pPr>
      <w:spacing w:before="40" w:after="40"/>
      <w:ind w:left="568" w:hanging="284"/>
      <w:jc w:val="left"/>
    </w:pPr>
  </w:style>
  <w:style w:type="paragraph" w:styleId="Header">
    <w:name w:val="header"/>
    <w:basedOn w:val="Normal"/>
    <w:link w:val="HeaderChar"/>
    <w:uiPriority w:val="99"/>
    <w:unhideWhenUsed/>
    <w:rsid w:val="00A6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64"/>
    <w:rPr>
      <w:sz w:val="22"/>
    </w:rPr>
  </w:style>
  <w:style w:type="paragraph" w:styleId="Footer">
    <w:name w:val="footer"/>
    <w:basedOn w:val="Normal"/>
    <w:link w:val="FooterChar"/>
    <w:uiPriority w:val="99"/>
    <w:unhideWhenUsed/>
    <w:rsid w:val="00A6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64"/>
    <w:rPr>
      <w:sz w:val="22"/>
    </w:rPr>
  </w:style>
  <w:style w:type="paragraph" w:styleId="NoSpacing">
    <w:name w:val="No Spacing"/>
    <w:uiPriority w:val="1"/>
    <w:qFormat/>
    <w:rsid w:val="0074502B"/>
    <w:pPr>
      <w:jc w:val="both"/>
    </w:pPr>
    <w:rPr>
      <w:sz w:val="22"/>
    </w:rPr>
  </w:style>
  <w:style w:type="paragraph" w:styleId="FootnoteText">
    <w:name w:val="footnote text"/>
    <w:basedOn w:val="Normal"/>
    <w:link w:val="FootnoteTextChar"/>
    <w:uiPriority w:val="99"/>
    <w:semiHidden/>
    <w:unhideWhenUsed/>
    <w:rsid w:val="00EC4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CDF"/>
    <w:rPr>
      <w:sz w:val="20"/>
      <w:szCs w:val="20"/>
    </w:rPr>
  </w:style>
  <w:style w:type="character" w:styleId="FootnoteReference">
    <w:name w:val="footnote reference"/>
    <w:basedOn w:val="DefaultParagraphFont"/>
    <w:uiPriority w:val="99"/>
    <w:semiHidden/>
    <w:unhideWhenUsed/>
    <w:rsid w:val="00EC4CDF"/>
    <w:rPr>
      <w:vertAlign w:val="superscript"/>
    </w:rPr>
  </w:style>
  <w:style w:type="character" w:styleId="UnresolvedMention">
    <w:name w:val="Unresolved Mention"/>
    <w:basedOn w:val="DefaultParagraphFont"/>
    <w:uiPriority w:val="99"/>
    <w:semiHidden/>
    <w:unhideWhenUsed/>
    <w:rsid w:val="00353FA7"/>
    <w:rPr>
      <w:color w:val="605E5C"/>
      <w:shd w:val="clear" w:color="auto" w:fill="E1DFDD"/>
    </w:rPr>
  </w:style>
  <w:style w:type="character" w:customStyle="1" w:styleId="CourierBold">
    <w:name w:val="Courier Bold"/>
    <w:basedOn w:val="DefaultParagraphFont"/>
    <w:uiPriority w:val="1"/>
    <w:qFormat/>
    <w:rsid w:val="004B2A7E"/>
    <w:rPr>
      <w:rFonts w:ascii="Courier New" w:hAnsi="Courier New" w:cs="Courier New"/>
      <w:b/>
      <w:bCs/>
    </w:rPr>
  </w:style>
  <w:style w:type="paragraph" w:styleId="ListParagraph">
    <w:name w:val="List Paragraph"/>
    <w:basedOn w:val="Normal"/>
    <w:uiPriority w:val="34"/>
    <w:qFormat/>
    <w:rsid w:val="00D1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048">
      <w:bodyDiv w:val="1"/>
      <w:marLeft w:val="0"/>
      <w:marRight w:val="0"/>
      <w:marTop w:val="0"/>
      <w:marBottom w:val="0"/>
      <w:divBdr>
        <w:top w:val="none" w:sz="0" w:space="0" w:color="auto"/>
        <w:left w:val="none" w:sz="0" w:space="0" w:color="auto"/>
        <w:bottom w:val="none" w:sz="0" w:space="0" w:color="auto"/>
        <w:right w:val="none" w:sz="0" w:space="0" w:color="auto"/>
      </w:divBdr>
      <w:divsChild>
        <w:div w:id="753668240">
          <w:marLeft w:val="0"/>
          <w:marRight w:val="0"/>
          <w:marTop w:val="0"/>
          <w:marBottom w:val="0"/>
          <w:divBdr>
            <w:top w:val="none" w:sz="0" w:space="0" w:color="auto"/>
            <w:left w:val="none" w:sz="0" w:space="0" w:color="auto"/>
            <w:bottom w:val="none" w:sz="0" w:space="0" w:color="auto"/>
            <w:right w:val="none" w:sz="0" w:space="0" w:color="auto"/>
          </w:divBdr>
          <w:divsChild>
            <w:div w:id="10572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152">
      <w:bodyDiv w:val="1"/>
      <w:marLeft w:val="0"/>
      <w:marRight w:val="0"/>
      <w:marTop w:val="0"/>
      <w:marBottom w:val="0"/>
      <w:divBdr>
        <w:top w:val="none" w:sz="0" w:space="0" w:color="auto"/>
        <w:left w:val="none" w:sz="0" w:space="0" w:color="auto"/>
        <w:bottom w:val="none" w:sz="0" w:space="0" w:color="auto"/>
        <w:right w:val="none" w:sz="0" w:space="0" w:color="auto"/>
      </w:divBdr>
    </w:div>
    <w:div w:id="206452896">
      <w:bodyDiv w:val="1"/>
      <w:marLeft w:val="0"/>
      <w:marRight w:val="0"/>
      <w:marTop w:val="0"/>
      <w:marBottom w:val="0"/>
      <w:divBdr>
        <w:top w:val="none" w:sz="0" w:space="0" w:color="auto"/>
        <w:left w:val="none" w:sz="0" w:space="0" w:color="auto"/>
        <w:bottom w:val="none" w:sz="0" w:space="0" w:color="auto"/>
        <w:right w:val="none" w:sz="0" w:space="0" w:color="auto"/>
      </w:divBdr>
    </w:div>
    <w:div w:id="238489666">
      <w:bodyDiv w:val="1"/>
      <w:marLeft w:val="0"/>
      <w:marRight w:val="0"/>
      <w:marTop w:val="0"/>
      <w:marBottom w:val="0"/>
      <w:divBdr>
        <w:top w:val="none" w:sz="0" w:space="0" w:color="auto"/>
        <w:left w:val="none" w:sz="0" w:space="0" w:color="auto"/>
        <w:bottom w:val="none" w:sz="0" w:space="0" w:color="auto"/>
        <w:right w:val="none" w:sz="0" w:space="0" w:color="auto"/>
      </w:divBdr>
    </w:div>
    <w:div w:id="27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64082011">
          <w:marLeft w:val="0"/>
          <w:marRight w:val="0"/>
          <w:marTop w:val="0"/>
          <w:marBottom w:val="0"/>
          <w:divBdr>
            <w:top w:val="none" w:sz="0" w:space="0" w:color="auto"/>
            <w:left w:val="none" w:sz="0" w:space="0" w:color="auto"/>
            <w:bottom w:val="none" w:sz="0" w:space="0" w:color="auto"/>
            <w:right w:val="none" w:sz="0" w:space="0" w:color="auto"/>
          </w:divBdr>
          <w:divsChild>
            <w:div w:id="1771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146">
      <w:bodyDiv w:val="1"/>
      <w:marLeft w:val="0"/>
      <w:marRight w:val="0"/>
      <w:marTop w:val="0"/>
      <w:marBottom w:val="0"/>
      <w:divBdr>
        <w:top w:val="none" w:sz="0" w:space="0" w:color="auto"/>
        <w:left w:val="none" w:sz="0" w:space="0" w:color="auto"/>
        <w:bottom w:val="none" w:sz="0" w:space="0" w:color="auto"/>
        <w:right w:val="none" w:sz="0" w:space="0" w:color="auto"/>
      </w:divBdr>
      <w:divsChild>
        <w:div w:id="926111400">
          <w:marLeft w:val="0"/>
          <w:marRight w:val="0"/>
          <w:marTop w:val="0"/>
          <w:marBottom w:val="0"/>
          <w:divBdr>
            <w:top w:val="none" w:sz="0" w:space="0" w:color="auto"/>
            <w:left w:val="none" w:sz="0" w:space="0" w:color="auto"/>
            <w:bottom w:val="none" w:sz="0" w:space="0" w:color="auto"/>
            <w:right w:val="none" w:sz="0" w:space="0" w:color="auto"/>
          </w:divBdr>
          <w:divsChild>
            <w:div w:id="19267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54">
      <w:bodyDiv w:val="1"/>
      <w:marLeft w:val="0"/>
      <w:marRight w:val="0"/>
      <w:marTop w:val="0"/>
      <w:marBottom w:val="0"/>
      <w:divBdr>
        <w:top w:val="none" w:sz="0" w:space="0" w:color="auto"/>
        <w:left w:val="none" w:sz="0" w:space="0" w:color="auto"/>
        <w:bottom w:val="none" w:sz="0" w:space="0" w:color="auto"/>
        <w:right w:val="none" w:sz="0" w:space="0" w:color="auto"/>
      </w:divBdr>
      <w:divsChild>
        <w:div w:id="1326395746">
          <w:marLeft w:val="0"/>
          <w:marRight w:val="0"/>
          <w:marTop w:val="0"/>
          <w:marBottom w:val="0"/>
          <w:divBdr>
            <w:top w:val="none" w:sz="0" w:space="0" w:color="auto"/>
            <w:left w:val="none" w:sz="0" w:space="0" w:color="auto"/>
            <w:bottom w:val="none" w:sz="0" w:space="0" w:color="auto"/>
            <w:right w:val="none" w:sz="0" w:space="0" w:color="auto"/>
          </w:divBdr>
          <w:divsChild>
            <w:div w:id="16594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933">
      <w:bodyDiv w:val="1"/>
      <w:marLeft w:val="0"/>
      <w:marRight w:val="0"/>
      <w:marTop w:val="0"/>
      <w:marBottom w:val="0"/>
      <w:divBdr>
        <w:top w:val="none" w:sz="0" w:space="0" w:color="auto"/>
        <w:left w:val="none" w:sz="0" w:space="0" w:color="auto"/>
        <w:bottom w:val="none" w:sz="0" w:space="0" w:color="auto"/>
        <w:right w:val="none" w:sz="0" w:space="0" w:color="auto"/>
      </w:divBdr>
      <w:divsChild>
        <w:div w:id="564531789">
          <w:marLeft w:val="0"/>
          <w:marRight w:val="0"/>
          <w:marTop w:val="0"/>
          <w:marBottom w:val="0"/>
          <w:divBdr>
            <w:top w:val="none" w:sz="0" w:space="0" w:color="auto"/>
            <w:left w:val="none" w:sz="0" w:space="0" w:color="auto"/>
            <w:bottom w:val="none" w:sz="0" w:space="0" w:color="auto"/>
            <w:right w:val="none" w:sz="0" w:space="0" w:color="auto"/>
          </w:divBdr>
          <w:divsChild>
            <w:div w:id="499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7025">
      <w:bodyDiv w:val="1"/>
      <w:marLeft w:val="0"/>
      <w:marRight w:val="0"/>
      <w:marTop w:val="0"/>
      <w:marBottom w:val="0"/>
      <w:divBdr>
        <w:top w:val="none" w:sz="0" w:space="0" w:color="auto"/>
        <w:left w:val="none" w:sz="0" w:space="0" w:color="auto"/>
        <w:bottom w:val="none" w:sz="0" w:space="0" w:color="auto"/>
        <w:right w:val="none" w:sz="0" w:space="0" w:color="auto"/>
      </w:divBdr>
    </w:div>
    <w:div w:id="817188201">
      <w:bodyDiv w:val="1"/>
      <w:marLeft w:val="0"/>
      <w:marRight w:val="0"/>
      <w:marTop w:val="0"/>
      <w:marBottom w:val="0"/>
      <w:divBdr>
        <w:top w:val="none" w:sz="0" w:space="0" w:color="auto"/>
        <w:left w:val="none" w:sz="0" w:space="0" w:color="auto"/>
        <w:bottom w:val="none" w:sz="0" w:space="0" w:color="auto"/>
        <w:right w:val="none" w:sz="0" w:space="0" w:color="auto"/>
      </w:divBdr>
    </w:div>
    <w:div w:id="867791679">
      <w:bodyDiv w:val="1"/>
      <w:marLeft w:val="0"/>
      <w:marRight w:val="0"/>
      <w:marTop w:val="0"/>
      <w:marBottom w:val="0"/>
      <w:divBdr>
        <w:top w:val="none" w:sz="0" w:space="0" w:color="auto"/>
        <w:left w:val="none" w:sz="0" w:space="0" w:color="auto"/>
        <w:bottom w:val="none" w:sz="0" w:space="0" w:color="auto"/>
        <w:right w:val="none" w:sz="0" w:space="0" w:color="auto"/>
      </w:divBdr>
      <w:divsChild>
        <w:div w:id="1324552061">
          <w:marLeft w:val="0"/>
          <w:marRight w:val="0"/>
          <w:marTop w:val="0"/>
          <w:marBottom w:val="0"/>
          <w:divBdr>
            <w:top w:val="none" w:sz="0" w:space="0" w:color="auto"/>
            <w:left w:val="none" w:sz="0" w:space="0" w:color="auto"/>
            <w:bottom w:val="none" w:sz="0" w:space="0" w:color="auto"/>
            <w:right w:val="none" w:sz="0" w:space="0" w:color="auto"/>
          </w:divBdr>
          <w:divsChild>
            <w:div w:id="120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072">
      <w:bodyDiv w:val="1"/>
      <w:marLeft w:val="0"/>
      <w:marRight w:val="0"/>
      <w:marTop w:val="0"/>
      <w:marBottom w:val="0"/>
      <w:divBdr>
        <w:top w:val="none" w:sz="0" w:space="0" w:color="auto"/>
        <w:left w:val="none" w:sz="0" w:space="0" w:color="auto"/>
        <w:bottom w:val="none" w:sz="0" w:space="0" w:color="auto"/>
        <w:right w:val="none" w:sz="0" w:space="0" w:color="auto"/>
      </w:divBdr>
      <w:divsChild>
        <w:div w:id="12416883">
          <w:marLeft w:val="0"/>
          <w:marRight w:val="0"/>
          <w:marTop w:val="0"/>
          <w:marBottom w:val="0"/>
          <w:divBdr>
            <w:top w:val="none" w:sz="0" w:space="0" w:color="auto"/>
            <w:left w:val="none" w:sz="0" w:space="0" w:color="auto"/>
            <w:bottom w:val="none" w:sz="0" w:space="0" w:color="auto"/>
            <w:right w:val="none" w:sz="0" w:space="0" w:color="auto"/>
          </w:divBdr>
          <w:divsChild>
            <w:div w:id="20746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3945">
      <w:bodyDiv w:val="1"/>
      <w:marLeft w:val="0"/>
      <w:marRight w:val="0"/>
      <w:marTop w:val="0"/>
      <w:marBottom w:val="0"/>
      <w:divBdr>
        <w:top w:val="none" w:sz="0" w:space="0" w:color="auto"/>
        <w:left w:val="none" w:sz="0" w:space="0" w:color="auto"/>
        <w:bottom w:val="none" w:sz="0" w:space="0" w:color="auto"/>
        <w:right w:val="none" w:sz="0" w:space="0" w:color="auto"/>
      </w:divBdr>
      <w:divsChild>
        <w:div w:id="1005791887">
          <w:marLeft w:val="0"/>
          <w:marRight w:val="0"/>
          <w:marTop w:val="0"/>
          <w:marBottom w:val="0"/>
          <w:divBdr>
            <w:top w:val="none" w:sz="0" w:space="0" w:color="auto"/>
            <w:left w:val="none" w:sz="0" w:space="0" w:color="auto"/>
            <w:bottom w:val="none" w:sz="0" w:space="0" w:color="auto"/>
            <w:right w:val="none" w:sz="0" w:space="0" w:color="auto"/>
          </w:divBdr>
          <w:divsChild>
            <w:div w:id="17684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689">
      <w:bodyDiv w:val="1"/>
      <w:marLeft w:val="0"/>
      <w:marRight w:val="0"/>
      <w:marTop w:val="0"/>
      <w:marBottom w:val="0"/>
      <w:divBdr>
        <w:top w:val="none" w:sz="0" w:space="0" w:color="auto"/>
        <w:left w:val="none" w:sz="0" w:space="0" w:color="auto"/>
        <w:bottom w:val="none" w:sz="0" w:space="0" w:color="auto"/>
        <w:right w:val="none" w:sz="0" w:space="0" w:color="auto"/>
      </w:divBdr>
    </w:div>
    <w:div w:id="969895863">
      <w:bodyDiv w:val="1"/>
      <w:marLeft w:val="0"/>
      <w:marRight w:val="0"/>
      <w:marTop w:val="0"/>
      <w:marBottom w:val="0"/>
      <w:divBdr>
        <w:top w:val="none" w:sz="0" w:space="0" w:color="auto"/>
        <w:left w:val="none" w:sz="0" w:space="0" w:color="auto"/>
        <w:bottom w:val="none" w:sz="0" w:space="0" w:color="auto"/>
        <w:right w:val="none" w:sz="0" w:space="0" w:color="auto"/>
      </w:divBdr>
    </w:div>
    <w:div w:id="1943217667">
      <w:bodyDiv w:val="1"/>
      <w:marLeft w:val="0"/>
      <w:marRight w:val="0"/>
      <w:marTop w:val="0"/>
      <w:marBottom w:val="0"/>
      <w:divBdr>
        <w:top w:val="none" w:sz="0" w:space="0" w:color="auto"/>
        <w:left w:val="none" w:sz="0" w:space="0" w:color="auto"/>
        <w:bottom w:val="none" w:sz="0" w:space="0" w:color="auto"/>
        <w:right w:val="none" w:sz="0" w:space="0" w:color="auto"/>
      </w:divBdr>
      <w:divsChild>
        <w:div w:id="134563634">
          <w:marLeft w:val="0"/>
          <w:marRight w:val="0"/>
          <w:marTop w:val="0"/>
          <w:marBottom w:val="0"/>
          <w:divBdr>
            <w:top w:val="none" w:sz="0" w:space="0" w:color="auto"/>
            <w:left w:val="none" w:sz="0" w:space="0" w:color="auto"/>
            <w:bottom w:val="none" w:sz="0" w:space="0" w:color="auto"/>
            <w:right w:val="none" w:sz="0" w:space="0" w:color="auto"/>
          </w:divBdr>
          <w:divsChild>
            <w:div w:id="1935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946">
      <w:bodyDiv w:val="1"/>
      <w:marLeft w:val="0"/>
      <w:marRight w:val="0"/>
      <w:marTop w:val="0"/>
      <w:marBottom w:val="0"/>
      <w:divBdr>
        <w:top w:val="none" w:sz="0" w:space="0" w:color="auto"/>
        <w:left w:val="none" w:sz="0" w:space="0" w:color="auto"/>
        <w:bottom w:val="none" w:sz="0" w:space="0" w:color="auto"/>
        <w:right w:val="none" w:sz="0" w:space="0" w:color="auto"/>
      </w:divBdr>
      <w:divsChild>
        <w:div w:id="662589175">
          <w:marLeft w:val="0"/>
          <w:marRight w:val="0"/>
          <w:marTop w:val="0"/>
          <w:marBottom w:val="0"/>
          <w:divBdr>
            <w:top w:val="none" w:sz="0" w:space="0" w:color="auto"/>
            <w:left w:val="none" w:sz="0" w:space="0" w:color="auto"/>
            <w:bottom w:val="none" w:sz="0" w:space="0" w:color="auto"/>
            <w:right w:val="none" w:sz="0" w:space="0" w:color="auto"/>
          </w:divBdr>
          <w:divsChild>
            <w:div w:id="2113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984">
      <w:bodyDiv w:val="1"/>
      <w:marLeft w:val="0"/>
      <w:marRight w:val="0"/>
      <w:marTop w:val="0"/>
      <w:marBottom w:val="0"/>
      <w:divBdr>
        <w:top w:val="none" w:sz="0" w:space="0" w:color="auto"/>
        <w:left w:val="none" w:sz="0" w:space="0" w:color="auto"/>
        <w:bottom w:val="none" w:sz="0" w:space="0" w:color="auto"/>
        <w:right w:val="none" w:sz="0" w:space="0" w:color="auto"/>
      </w:divBdr>
    </w:div>
    <w:div w:id="2089495743">
      <w:bodyDiv w:val="1"/>
      <w:marLeft w:val="0"/>
      <w:marRight w:val="0"/>
      <w:marTop w:val="0"/>
      <w:marBottom w:val="0"/>
      <w:divBdr>
        <w:top w:val="none" w:sz="0" w:space="0" w:color="auto"/>
        <w:left w:val="none" w:sz="0" w:space="0" w:color="auto"/>
        <w:bottom w:val="none" w:sz="0" w:space="0" w:color="auto"/>
        <w:right w:val="none" w:sz="0" w:space="0" w:color="auto"/>
      </w:divBdr>
    </w:div>
    <w:div w:id="2113352112">
      <w:bodyDiv w:val="1"/>
      <w:marLeft w:val="0"/>
      <w:marRight w:val="0"/>
      <w:marTop w:val="0"/>
      <w:marBottom w:val="0"/>
      <w:divBdr>
        <w:top w:val="none" w:sz="0" w:space="0" w:color="auto"/>
        <w:left w:val="none" w:sz="0" w:space="0" w:color="auto"/>
        <w:bottom w:val="none" w:sz="0" w:space="0" w:color="auto"/>
        <w:right w:val="none" w:sz="0" w:space="0" w:color="auto"/>
      </w:divBdr>
      <w:divsChild>
        <w:div w:id="1473450622">
          <w:marLeft w:val="0"/>
          <w:marRight w:val="0"/>
          <w:marTop w:val="0"/>
          <w:marBottom w:val="0"/>
          <w:divBdr>
            <w:top w:val="none" w:sz="0" w:space="0" w:color="auto"/>
            <w:left w:val="none" w:sz="0" w:space="0" w:color="auto"/>
            <w:bottom w:val="none" w:sz="0" w:space="0" w:color="auto"/>
            <w:right w:val="none" w:sz="0" w:space="0" w:color="auto"/>
          </w:divBdr>
          <w:divsChild>
            <w:div w:id="14178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D3E9-1CD3-0342-983F-878291D3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55</cp:revision>
  <dcterms:created xsi:type="dcterms:W3CDTF">2019-07-16T07:12:00Z</dcterms:created>
  <dcterms:modified xsi:type="dcterms:W3CDTF">2019-07-21T07:35:00Z</dcterms:modified>
</cp:coreProperties>
</file>