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090006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Herrings, subject to compliance with the reference prices</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16-06-2017 - 14-02-2018</w:t>
            </w:r>
          </w:p>
        </w:tc>
      </w:tr>
      <w:tr>
        <w:tc>
          <w:tcPr>
            <w:tcW w:type="dxa" w:w="2608"/>
          </w:tcPr>
          <w:p>
            <w:pPr>
              <w:pStyle w:val="Smallintable"/>
            </w:pPr>
            <w:r>
              <w:t>Overall quota volume</w:t>
            </w:r>
          </w:p>
        </w:tc>
        <w:tc>
          <w:tcPr>
            <w:tcW w:type="dxa" w:w="7937"/>
          </w:tcPr>
          <w:p>
            <w:pPr>
              <w:pStyle w:val="Smallintable"/>
            </w:pPr>
            <w:r>
              <w:t>34,000,000.00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Fish</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R000032</w:t>
            </w:r>
          </w:p>
        </w:tc>
        <w:tc>
          <w:tcPr>
            <w:tcW w:type="dxa" w:w="8277"/>
          </w:tcPr>
          <w:p>
            <w:pPr>
              <w:pStyle w:val="Smallintable"/>
            </w:pPr>
            <w:r>
              <w:t>opening and providing for the administration of Community tariff quotas bound in GATT and certain other Community tariff quotas and establishingdetailed rules for adjustingthe quotas, and repealingCouncil Regulation (EC) No 1808/95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0302410000</w:t>
            </w:r>
          </w:p>
        </w:tc>
        <w:tc>
          <w:tcPr>
            <w:tcW w:type="dxa" w:w="8561"/>
          </w:tcPr>
          <w:p>
            <w:pPr>
              <w:pStyle w:val="Smallintable"/>
            </w:pPr>
            <w:r>
              <w:t>Herrings (Clupea harengus, Clupea pallasii)</w:t>
            </w:r>
          </w:p>
        </w:tc>
      </w:tr>
      <w:tr>
        <w:tc>
          <w:tcPr>
            <w:tcW w:type="dxa" w:w="1984"/>
          </w:tcPr>
          <w:p>
            <w:pPr>
              <w:pStyle w:val="Smallintable"/>
            </w:pPr>
            <w:r>
              <w:t>0303510000</w:t>
            </w:r>
          </w:p>
        </w:tc>
        <w:tc>
          <w:tcPr>
            <w:tcW w:type="dxa" w:w="8561"/>
          </w:tcPr>
          <w:p>
            <w:pPr>
              <w:pStyle w:val="Smallintable"/>
            </w:pPr>
            <w:r>
              <w:t>Herrings (Clupea harengus, Clupea pallasii)</w:t>
            </w:r>
          </w:p>
        </w:tc>
      </w:tr>
      <w:tr>
        <w:tc>
          <w:tcPr>
            <w:tcW w:type="dxa" w:w="1984"/>
          </w:tcPr>
          <w:p>
            <w:pPr>
              <w:pStyle w:val="Smallintable"/>
            </w:pPr>
            <w:r>
              <w:t>0304595000</w:t>
            </w:r>
          </w:p>
        </w:tc>
        <w:tc>
          <w:tcPr>
            <w:tcW w:type="dxa" w:w="8561"/>
          </w:tcPr>
          <w:p>
            <w:pPr>
              <w:pStyle w:val="Smallintable"/>
            </w:pPr>
            <w:r>
              <w:t>Flaps of herring</w:t>
            </w:r>
          </w:p>
        </w:tc>
      </w:tr>
      <w:tr>
        <w:tc>
          <w:tcPr>
            <w:tcW w:type="dxa" w:w="1984"/>
          </w:tcPr>
          <w:p>
            <w:pPr>
              <w:pStyle w:val="Smallintable"/>
            </w:pPr>
            <w:r>
              <w:t>0304599010</w:t>
            </w:r>
          </w:p>
        </w:tc>
        <w:tc>
          <w:tcPr>
            <w:tcW w:type="dxa" w:w="8561"/>
          </w:tcPr>
          <w:p>
            <w:pPr>
              <w:pStyle w:val="Smallintable"/>
            </w:pPr>
            <w:r>
              <w:t>Herrings</w:t>
            </w:r>
          </w:p>
        </w:tc>
      </w:tr>
      <w:tr>
        <w:tc>
          <w:tcPr>
            <w:tcW w:type="dxa" w:w="1984"/>
          </w:tcPr>
          <w:p>
            <w:pPr>
              <w:pStyle w:val="Smallintable"/>
            </w:pPr>
            <w:r>
              <w:t>0304992300</w:t>
            </w:r>
          </w:p>
        </w:tc>
        <w:tc>
          <w:tcPr>
            <w:tcW w:type="dxa" w:w="8561"/>
          </w:tcPr>
          <w:p>
            <w:pPr>
              <w:pStyle w:val="Smallintable"/>
            </w:pPr>
            <w:r>
              <w:t>Herrings (Clupea harengus, Clupea pallasii)</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0302410000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0303510000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0304595000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0304599010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 xml:space="preserve">Commission Regulation (EC) ¿o 630/2007 amending Council Regulation (EC) No 32/2000 to take account of amendments to Council Regulation (EEC) No 2658/87 on the tariff and statistical nomenclature and on the Common Customs Tariff(OJ L 145, 7.6.2007, p. 12) </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16-06-18 to 14-02-19</w:t>
            </w:r>
          </w:p>
        </w:tc>
        <w:tc>
          <w:tcPr>
            <w:tcW w:type="dxa" w:w="1531"/>
          </w:tcPr>
          <w:p>
            <w:pPr>
              <w:pStyle w:val="Smallintable"/>
            </w:pPr>
            <w:r>
              <w:t>Custom period</w:t>
            </w:r>
          </w:p>
        </w:tc>
        <w:tc>
          <w:tcPr>
            <w:tcW w:type="dxa" w:w="1644"/>
          </w:tcPr>
          <w:p>
            <w:pPr>
              <w:pStyle w:val="Smallintable"/>
            </w:pPr>
            <w:r>
              <w:t>34,000,000.00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