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7202210000</w:t>
            </w:r>
          </w:p>
        </w:tc>
        <w:tc>
          <w:tcPr>
            <w:tcW w:type="dxa" w:w="8561"/>
          </w:tcPr>
          <w:p>
            <w:pPr>
              <w:pStyle w:val="Smallintable"/>
            </w:pPr>
            <w:r>
              <w:t>Containing by weight more than 55|% of silicon</w:t>
            </w:r>
          </w:p>
        </w:tc>
      </w:tr>
      <w:tr>
        <w:tc>
          <w:tcPr>
            <w:tcW w:type="dxa" w:w="1984"/>
          </w:tcPr>
          <w:p>
            <w:pPr>
              <w:pStyle w:val="Smallintable"/>
            </w:pPr>
            <w:r>
              <w:t>7202290000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7202210000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