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Oat grains otherwise worked</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R042094</w:t>
            </w:r>
          </w:p>
        </w:tc>
        <w:tc>
          <w:tcPr>
            <w:tcW w:type="dxa" w:w="8277"/>
          </w:tcPr>
          <w:p>
            <w:pPr>
              <w:pStyle w:val="Smallintable"/>
            </w:pPr>
            <w:r>
              <w:t>opening and providing for the administration of a tariff quota of 10 000 tonnes of oat grains otherwise worked falling within CN code 1104 22 98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1104229500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2094/2004 opening and providing for the administration of a tariff quota of 10 000 tonnes of oat grains otherwise worked falling within CN code 1104 22 98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