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Apples, fresh, other than cider apples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01-04-2018 - 31-07-2018</w:t>
            </w:r>
          </w:p>
        </w:tc>
      </w:tr>
      <w:tr>
        <w:tc>
          <w:tcPr>
            <w:tcW w:type="dxa" w:w="2608"/>
          </w:tcPr>
          <w:p>
            <w:pPr>
              <w:pStyle w:val="Smallintable"/>
            </w:pPr>
            <w:r>
              <w:t>Overall quota volume</w:t>
            </w:r>
          </w:p>
        </w:tc>
        <w:tc>
          <w:tcPr>
            <w:tcW w:type="dxa" w:w="7937"/>
          </w:tcPr>
          <w:p>
            <w:pPr>
              <w:pStyle w:val="Smallintable"/>
            </w:pPr>
            <w:r>
              <w:t>696,000.00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1144/2007 amending Regulation (EC) No 1831/96 opening and providing for the administration of Community tariff quotas bound under GATT for certain fruit and vegetables and processed fruit and vegetable products from 1996 (OJ L 256, 2.10.2007, p. 26)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01-04-18 to 31-07-18</w:t>
            </w:r>
          </w:p>
        </w:tc>
        <w:tc>
          <w:tcPr>
            <w:tcW w:type="dxa" w:w="1531"/>
          </w:tcPr>
          <w:p>
            <w:pPr>
              <w:pStyle w:val="Smallintable"/>
            </w:pPr>
            <w:r>
              <w:t>4 months</w:t>
            </w:r>
          </w:p>
        </w:tc>
        <w:tc>
          <w:tcPr>
            <w:tcW w:type="dxa" w:w="1644"/>
          </w:tcPr>
          <w:p>
            <w:pPr>
              <w:pStyle w:val="Smallintable"/>
            </w:pPr>
            <w:r>
              <w:t>696,000.00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