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090067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Grape juice and must</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01-09-2017 - 31-08-2018</w:t>
            </w:r>
          </w:p>
        </w:tc>
      </w:tr>
      <w:tr>
        <w:tc>
          <w:tcPr>
            <w:tcW w:type="dxa" w:w="2608"/>
          </w:tcPr>
          <w:p>
            <w:pPr>
              <w:pStyle w:val="Smallintable"/>
            </w:pPr>
            <w:r>
              <w:t>Overall quota volume</w:t>
            </w:r>
          </w:p>
        </w:tc>
        <w:tc>
          <w:tcPr>
            <w:tcW w:type="dxa" w:w="7937"/>
          </w:tcPr>
          <w:p>
            <w:pPr>
              <w:pStyle w:val="Smallintable"/>
            </w:pPr>
            <w:r>
              <w:t>14,029,000.00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R031472</w:t>
            </w:r>
          </w:p>
        </w:tc>
        <w:tc>
          <w:tcPr>
            <w:tcW w:type="dxa" w:w="8277"/>
          </w:tcPr>
          <w:p>
            <w:pPr>
              <w:pStyle w:val="Smallintable"/>
            </w:pPr>
            <w:r>
              <w:t>opening and providing for the management of a Community tariff quota for grape juice and must as from the 2003/2004 marketing year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2009619010</w:t>
            </w:r>
          </w:p>
        </w:tc>
        <w:tc>
          <w:tcPr>
            <w:tcW w:type="dxa" w:w="8561"/>
          </w:tcPr>
          <w:p>
            <w:pPr>
              <w:pStyle w:val="Smallintable"/>
            </w:pPr>
            <w:r>
              <w:t>for the production of grape juice and/or non-wine sector products such as non-alcoholic drinks, jams and sauces</w:t>
            </w:r>
          </w:p>
        </w:tc>
      </w:tr>
      <w:tr>
        <w:tc>
          <w:tcPr>
            <w:tcW w:type="dxa" w:w="1984"/>
          </w:tcPr>
          <w:p>
            <w:pPr>
              <w:pStyle w:val="Smallintable"/>
            </w:pPr>
            <w:r>
              <w:t>2009691111</w:t>
            </w:r>
          </w:p>
        </w:tc>
        <w:tc>
          <w:tcPr>
            <w:tcW w:type="dxa" w:w="8561"/>
          </w:tcPr>
          <w:p>
            <w:pPr>
              <w:pStyle w:val="Smallintable"/>
            </w:pPr>
            <w:r>
              <w:t>With an added sugar content not exceeding 30|% by weight</w:t>
            </w:r>
          </w:p>
        </w:tc>
      </w:tr>
      <w:tr>
        <w:tc>
          <w:tcPr>
            <w:tcW w:type="dxa" w:w="1984"/>
          </w:tcPr>
          <w:p>
            <w:pPr>
              <w:pStyle w:val="Smallintable"/>
            </w:pPr>
            <w:r>
              <w:t>2009691119</w:t>
            </w:r>
          </w:p>
        </w:tc>
        <w:tc>
          <w:tcPr>
            <w:tcW w:type="dxa" w:w="8561"/>
          </w:tcPr>
          <w:p>
            <w:pPr>
              <w:pStyle w:val="Smallintable"/>
            </w:pPr>
            <w:r>
              <w:t>Other</w:t>
            </w:r>
          </w:p>
        </w:tc>
      </w:tr>
      <w:tr>
        <w:tc>
          <w:tcPr>
            <w:tcW w:type="dxa" w:w="1984"/>
          </w:tcPr>
          <w:p>
            <w:pPr>
              <w:pStyle w:val="Smallintable"/>
            </w:pPr>
            <w:r>
              <w:t>2009691910</w:t>
            </w:r>
          </w:p>
        </w:tc>
        <w:tc>
          <w:tcPr>
            <w:tcW w:type="dxa" w:w="8561"/>
          </w:tcPr>
          <w:p>
            <w:pPr>
              <w:pStyle w:val="Smallintable"/>
            </w:pPr>
            <w:r>
              <w:t>for the production of grape juice and/or non-wine sector products such as non-alcoholic drinks, jams and sauces</w:t>
            </w:r>
          </w:p>
        </w:tc>
      </w:tr>
      <w:tr>
        <w:tc>
          <w:tcPr>
            <w:tcW w:type="dxa" w:w="1984"/>
          </w:tcPr>
          <w:p>
            <w:pPr>
              <w:pStyle w:val="Smallintable"/>
            </w:pPr>
            <w:r>
              <w:t>2009695110</w:t>
            </w:r>
          </w:p>
        </w:tc>
        <w:tc>
          <w:tcPr>
            <w:tcW w:type="dxa" w:w="8561"/>
          </w:tcPr>
          <w:p>
            <w:pPr>
              <w:pStyle w:val="Smallintable"/>
            </w:pPr>
            <w:r>
              <w:t>for the production of grape juice and/or non-wine sector products such as non-alcoholic drinks, jams and sauces</w:t>
            </w:r>
          </w:p>
        </w:tc>
      </w:tr>
      <w:tr>
        <w:tc>
          <w:tcPr>
            <w:tcW w:type="dxa" w:w="1984"/>
          </w:tcPr>
          <w:p>
            <w:pPr>
              <w:pStyle w:val="Smallintable"/>
            </w:pPr>
            <w:r>
              <w:t>2009699020</w:t>
            </w:r>
          </w:p>
        </w:tc>
        <w:tc>
          <w:tcPr>
            <w:tcW w:type="dxa" w:w="8561"/>
          </w:tcPr>
          <w:p>
            <w:pPr>
              <w:pStyle w:val="Smallintable"/>
            </w:pPr>
            <w:r>
              <w:t>for the production of grape juice and/or non-wine sector products such as non-alcoholic drinks, jams and sauces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2009619010</w:t>
            </w:r>
          </w:p>
        </w:tc>
        <w:tc>
          <w:tcPr>
            <w:tcW w:type="dxa" w:w="4706"/>
          </w:tcPr>
          <w:p>
            <w:pPr>
              <w:pStyle w:val="Smallintable"/>
            </w:pPr>
            <w:r>
              <w:t>123 [Non preferential tariff quota under end-use]</w:t>
            </w:r>
          </w:p>
        </w:tc>
        <w:tc>
          <w:tcPr>
            <w:tcW w:type="dxa" w:w="3855"/>
          </w:tcPr>
          <w:p>
            <w:pPr>
              <w:pStyle w:val="Smallintable"/>
            </w:pPr>
            <w:r>
              <w:t>22.4%</w:t>
            </w:r>
          </w:p>
        </w:tc>
      </w:tr>
      <w:tr>
        <w:tc>
          <w:tcPr>
            <w:tcW w:type="dxa" w:w="1984"/>
          </w:tcPr>
          <w:p>
            <w:pPr>
              <w:pStyle w:val="Smallintable"/>
            </w:pPr>
            <w:r>
              <w:t>2009691111</w:t>
            </w:r>
          </w:p>
        </w:tc>
        <w:tc>
          <w:tcPr>
            <w:tcW w:type="dxa" w:w="4706"/>
          </w:tcPr>
          <w:p>
            <w:pPr>
              <w:pStyle w:val="Smallintable"/>
            </w:pPr>
            <w:r>
              <w:t>123 [Non preferential tariff quota under end-use]</w:t>
            </w:r>
          </w:p>
        </w:tc>
        <w:tc>
          <w:tcPr>
            <w:tcW w:type="dxa" w:w="3855"/>
          </w:tcPr>
          <w:p>
            <w:pPr>
              <w:pStyle w:val="Smallintable"/>
            </w:pPr>
            <w:r>
              <w:t>40.0% + 20.6 EUR / 100 kg</w:t>
            </w:r>
          </w:p>
        </w:tc>
      </w:tr>
      <w:tr>
        <w:tc>
          <w:tcPr>
            <w:tcW w:type="dxa" w:w="1984"/>
          </w:tcPr>
          <w:p>
            <w:pPr>
              <w:pStyle w:val="Smallintable"/>
            </w:pPr>
            <w:r>
              <w:t>2009691119</w:t>
            </w:r>
          </w:p>
        </w:tc>
        <w:tc>
          <w:tcPr>
            <w:tcW w:type="dxa" w:w="4706"/>
          </w:tcPr>
          <w:p>
            <w:pPr>
              <w:pStyle w:val="Smallintable"/>
            </w:pPr>
            <w:r>
              <w:t>123 [Non preferential tariff quota under end-use]</w:t>
            </w:r>
          </w:p>
        </w:tc>
        <w:tc>
          <w:tcPr>
            <w:tcW w:type="dxa" w:w="3855"/>
          </w:tcPr>
          <w:p>
            <w:pPr>
              <w:pStyle w:val="Smallintable"/>
            </w:pPr>
            <w:r>
              <w:t>40.0% + 20.6 EUR / 100 kg</w:t>
            </w:r>
          </w:p>
        </w:tc>
      </w:tr>
      <w:tr>
        <w:tc>
          <w:tcPr>
            <w:tcW w:type="dxa" w:w="1984"/>
          </w:tcPr>
          <w:p>
            <w:pPr>
              <w:pStyle w:val="Smallintable"/>
            </w:pPr>
            <w:r>
              <w:t>2009691910</w:t>
            </w:r>
          </w:p>
        </w:tc>
        <w:tc>
          <w:tcPr>
            <w:tcW w:type="dxa" w:w="4706"/>
          </w:tcPr>
          <w:p>
            <w:pPr>
              <w:pStyle w:val="Smallintable"/>
            </w:pPr>
            <w:r>
              <w:t>123 [Non preferential tariff quota under end-use]</w:t>
            </w:r>
          </w:p>
        </w:tc>
        <w:tc>
          <w:tcPr>
            <w:tcW w:type="dxa" w:w="3855"/>
          </w:tcPr>
          <w:p>
            <w:pPr>
              <w:pStyle w:val="Smallintable"/>
            </w:pPr>
            <w:r>
              <w:t>40.0%</w:t>
            </w:r>
          </w:p>
        </w:tc>
      </w:tr>
      <w:tr>
        <w:tc>
          <w:tcPr>
            <w:tcW w:type="dxa" w:w="1984"/>
          </w:tcPr>
          <w:p>
            <w:pPr>
              <w:pStyle w:val="Smallintable"/>
            </w:pPr>
            <w:r>
              <w:t>2009695110</w:t>
            </w:r>
          </w:p>
        </w:tc>
        <w:tc>
          <w:tcPr>
            <w:tcW w:type="dxa" w:w="4706"/>
          </w:tcPr>
          <w:p>
            <w:pPr>
              <w:pStyle w:val="Smallintable"/>
            </w:pPr>
            <w:r>
              <w:t>123 [Non preferential tariff quota under end-use]</w:t>
            </w:r>
          </w:p>
        </w:tc>
        <w:tc>
          <w:tcPr>
            <w:tcW w:type="dxa" w:w="3855"/>
          </w:tcPr>
          <w:p>
            <w:pPr>
              <w:pStyle w:val="Smallintable"/>
            </w:pPr>
            <w:r>
              <w:t>22.4%</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1472/2003 of 20 August 2003 opening and providing for the management of a Community tariff quota for grape juice and must as from the 2003/2004 marketing year and its subsequent modifications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01-09-18 to 31-08-19</w:t>
            </w:r>
          </w:p>
        </w:tc>
        <w:tc>
          <w:tcPr>
            <w:tcW w:type="dxa" w:w="1531"/>
          </w:tcPr>
          <w:p>
            <w:pPr>
              <w:pStyle w:val="Smallintable"/>
            </w:pPr>
            <w:r>
              <w:t>12 months</w:t>
            </w:r>
          </w:p>
        </w:tc>
        <w:tc>
          <w:tcPr>
            <w:tcW w:type="dxa" w:w="1644"/>
          </w:tcPr>
          <w:p>
            <w:pPr>
              <w:pStyle w:val="Smallintable"/>
            </w:pPr>
            <w:r>
              <w:t>14,029,000.00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