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Malting barley to be used for the production of beer aged in vats containing beechwood.</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50,890,000.00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R111253</w:t>
            </w:r>
          </w:p>
        </w:tc>
        <w:tc>
          <w:tcPr>
            <w:tcW w:type="dxa" w:w="8277"/>
          </w:tcPr>
          <w:p>
            <w:pPr>
              <w:pStyle w:val="Smallintable"/>
            </w:pPr>
            <w:r>
              <w:t>amending Regulations (EC) No 2305/2003, (EC) No 969/2006, (EC) No 1067/2008 and (EC) No 1064/2009 opening and providing for the administration of EU tariff quotas for cereal imports from third countries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1003900020</w:t>
            </w:r>
          </w:p>
        </w:tc>
        <w:tc>
          <w:tcPr>
            <w:tcW w:type="dxa" w:w="8561"/>
          </w:tcPr>
          <w:p>
            <w:pPr>
              <w:pStyle w:val="Smallintable"/>
            </w:pPr>
            <w:r>
              <w:t xml:space="preserve">with the following quality criteria: - specific weight 60,5 kg/hl or more, - damaged grains 1|%  or less, - moisture content 13,5|% or less, - sound, fair and merchantable barley 96|% or more, to be used for the manufacture of beer aged in vats containing beechwood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1253/2011 amending Regulations (EC) No 2305/2003, (EC) No 969/2006, (EC) No 1067/2008 and (EC) No 1064/2009 opening and providing for the administration of EU tariff quotas for cereal imports from third countries - Transfert from DG AGRI to FCFS (09.4061)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50,890,000.00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