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090096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Other food preparations not elsewhere specified or included </w:t>
            </w:r>
          </w:p>
        </w:tc>
      </w:tr>
      <w:tr>
        <w:tc>
          <w:tcPr>
            <w:tcW w:type="dxa" w:w="2608"/>
          </w:tcPr>
          <w:p>
            <w:pPr>
              <w:pStyle w:val="Smallintable"/>
            </w:pPr>
            <w:r>
              <w:t>Country</w:t>
            </w:r>
          </w:p>
        </w:tc>
        <w:tc>
          <w:tcPr>
            <w:tcW w:type="dxa" w:w="7937"/>
          </w:tcPr>
          <w:p>
            <w:pPr>
              <w:pStyle w:val="Smallintable"/>
            </w:pPr>
            <w:r>
              <w:t>United States of America</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1,550,000.00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t>certificate of origin needs to be issued by a relevent us authority to use the trq</w:t>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R130624</w:t>
            </w:r>
          </w:p>
        </w:tc>
        <w:tc>
          <w:tcPr>
            <w:tcW w:type="dxa" w:w="8277"/>
          </w:tcPr>
          <w:p>
            <w:pPr>
              <w:pStyle w:val="Smallintable"/>
            </w:pPr>
            <w:r>
              <w:t>amending Annex I to Council Regulation (EC) No 32/2000 as regards a new tariff quota of the Union bound in GATT for food preparations not elsewhere specified or included, allocated to the United States of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US</w:t>
            </w:r>
          </w:p>
        </w:tc>
        <w:tc>
          <w:tcPr>
            <w:tcW w:type="dxa" w:w="8277"/>
          </w:tcPr>
          <w:p>
            <w:pPr>
              <w:pStyle w:val="Smallintable"/>
            </w:pPr>
            <w:r>
              <w:t>United States of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2106909800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Implementing Regulation (EU) No 624/2013 of 27 June 2013 amending Annex I to Council Regulation (EC) No 32/2000 as regards a new tariff quota of the Union bound in GATT for food preparations not elsewhere specified or included, allocated to the United States of America (OJ L 177/21 of 28.06.2013)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1,550,000.00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