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R131215</w:t>
            </w:r>
          </w:p>
        </w:tc>
        <w:tc>
          <w:tcPr>
            <w:tcW w:type="dxa" w:w="8277"/>
          </w:tcPr>
          <w:p>
            <w:pPr>
              <w:pStyle w:val="Smallintable"/>
            </w:pPr>
            <w:r>
              <w:t>amending Council Regulation (EC) No 32/2000 as regards the extension of the Union???s tariff quotas for jute and coconut-fibre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5702200000</w:t>
            </w:r>
          </w:p>
        </w:tc>
        <w:tc>
          <w:tcPr>
            <w:tcW w:type="dxa" w:w="8561"/>
          </w:tcPr>
          <w:p>
            <w:pPr>
              <w:pStyle w:val="Smallintable"/>
            </w:pPr>
            <w:r>
              <w:t>Floor coverings of coconut fibres (coir)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1215/2013 amending Council Regulation (EC) No 32/2000 as regards the extension of the tariff quotas of the Union for jute and coconut-fibre products. (see OJ L 319/3 of the 29.11.2013)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