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090114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Cows and heifers other than for slaughter of the following mountain breeds: grey, brown, yellow and mottled Simmental breeds and Pinzgau breed</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710.00</w:t>
            </w:r>
          </w:p>
        </w:tc>
      </w:tr>
      <w:tr>
        <w:tc>
          <w:tcPr>
            <w:tcW w:type="dxa" w:w="2608"/>
          </w:tcPr>
          <w:p>
            <w:pPr>
              <w:pStyle w:val="Smallintable"/>
            </w:pPr>
            <w:r>
              <w:t>Unit</w:t>
            </w:r>
          </w:p>
        </w:tc>
        <w:tc>
          <w:tcPr>
            <w:tcW w:type="dxa" w:w="7937"/>
          </w:tcPr>
          <w:p>
            <w:pPr>
              <w:pStyle w:val="Smallintable"/>
            </w:pPr>
            <w:r>
              <w:t>NAR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Live Animals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R090438</w:t>
            </w:r>
          </w:p>
        </w:tc>
        <w:tc>
          <w:tcPr>
            <w:tcW w:type="dxa" w:w="8277"/>
          </w:tcPr>
          <w:p>
            <w:pPr>
              <w:pStyle w:val="Smallintable"/>
            </w:pPr>
            <w:r>
              <w:t>opening and providing for the administration of Community tariff quotas for bulls, cows and heifers other than for slaughter of certain Alpine and mountain breeds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0102291020</w:t>
            </w:r>
          </w:p>
        </w:tc>
        <w:tc>
          <w:tcPr>
            <w:tcW w:type="dxa" w:w="8561"/>
          </w:tcPr>
          <w:p>
            <w:pPr>
              <w:pStyle w:val="Smallintable"/>
            </w:pPr>
            <w:r>
              <w:t>Heifers of the grey, brown or yellow mountain breeds and spotted Pinzgau breed, other than for slaughter</w:t>
            </w:r>
          </w:p>
        </w:tc>
      </w:tr>
      <w:tr>
        <w:tc>
          <w:tcPr>
            <w:tcW w:type="dxa" w:w="1984"/>
          </w:tcPr>
          <w:p>
            <w:pPr>
              <w:pStyle w:val="Smallintable"/>
            </w:pPr>
            <w:r>
              <w:t>0102291040</w:t>
            </w:r>
          </w:p>
        </w:tc>
        <w:tc>
          <w:tcPr>
            <w:tcW w:type="dxa" w:w="8561"/>
          </w:tcPr>
          <w:p>
            <w:pPr>
              <w:pStyle w:val="Smallintable"/>
            </w:pPr>
            <w:r>
              <w:t>Heifers of the spotted Simmental breed, other than for slaughter</w:t>
            </w:r>
          </w:p>
        </w:tc>
      </w:tr>
      <w:tr>
        <w:tc>
          <w:tcPr>
            <w:tcW w:type="dxa" w:w="1984"/>
          </w:tcPr>
          <w:p>
            <w:pPr>
              <w:pStyle w:val="Smallintable"/>
            </w:pPr>
            <w:r>
              <w:t>0102292920</w:t>
            </w:r>
          </w:p>
        </w:tc>
        <w:tc>
          <w:tcPr>
            <w:tcW w:type="dxa" w:w="8561"/>
          </w:tcPr>
          <w:p>
            <w:pPr>
              <w:pStyle w:val="Smallintable"/>
            </w:pPr>
            <w:r>
              <w:t>Heifers of the grey, brown or yellow mountain breeds and spotted Pinzgau breed</w:t>
            </w:r>
          </w:p>
        </w:tc>
      </w:tr>
      <w:tr>
        <w:tc>
          <w:tcPr>
            <w:tcW w:type="dxa" w:w="1984"/>
          </w:tcPr>
          <w:p>
            <w:pPr>
              <w:pStyle w:val="Smallintable"/>
            </w:pPr>
            <w:r>
              <w:t>0102292940</w:t>
            </w:r>
          </w:p>
        </w:tc>
        <w:tc>
          <w:tcPr>
            <w:tcW w:type="dxa" w:w="8561"/>
          </w:tcPr>
          <w:p>
            <w:pPr>
              <w:pStyle w:val="Smallintable"/>
            </w:pPr>
            <w:r>
              <w:t>Heifers of the spotted Simmental breed</w:t>
            </w:r>
          </w:p>
        </w:tc>
      </w:tr>
      <w:tr>
        <w:tc>
          <w:tcPr>
            <w:tcW w:type="dxa" w:w="1984"/>
          </w:tcPr>
          <w:p>
            <w:pPr>
              <w:pStyle w:val="Smallintable"/>
            </w:pPr>
            <w:r>
              <w:t>0102294920</w:t>
            </w:r>
          </w:p>
        </w:tc>
        <w:tc>
          <w:tcPr>
            <w:tcW w:type="dxa" w:w="8561"/>
          </w:tcPr>
          <w:p>
            <w:pPr>
              <w:pStyle w:val="Smallintable"/>
            </w:pPr>
            <w:r>
              <w:t>Heifers and cows of the grey, brown or yellow mountain breeds and spotted Pinzgau breed</w:t>
            </w:r>
          </w:p>
        </w:tc>
      </w:tr>
      <w:tr>
        <w:tc>
          <w:tcPr>
            <w:tcW w:type="dxa" w:w="1984"/>
          </w:tcPr>
          <w:p>
            <w:pPr>
              <w:pStyle w:val="Smallintable"/>
            </w:pPr>
            <w:r>
              <w:t>0102294940</w:t>
            </w:r>
          </w:p>
        </w:tc>
        <w:tc>
          <w:tcPr>
            <w:tcW w:type="dxa" w:w="8561"/>
          </w:tcPr>
          <w:p>
            <w:pPr>
              <w:pStyle w:val="Smallintable"/>
            </w:pPr>
            <w:r>
              <w:t>Heifers and cows of the spotted Simmental breed</w:t>
            </w:r>
          </w:p>
        </w:tc>
      </w:tr>
      <w:tr>
        <w:tc>
          <w:tcPr>
            <w:tcW w:type="dxa" w:w="1984"/>
          </w:tcPr>
          <w:p>
            <w:pPr>
              <w:pStyle w:val="Smallintable"/>
            </w:pPr>
            <w:r>
              <w:t>0102295911</w:t>
            </w:r>
          </w:p>
        </w:tc>
        <w:tc>
          <w:tcPr>
            <w:tcW w:type="dxa" w:w="8561"/>
          </w:tcPr>
          <w:p>
            <w:pPr>
              <w:pStyle w:val="Smallintable"/>
            </w:pPr>
            <w:r>
              <w:t>Not yet having any permanent teeth, of a weight of not less than 320|kg but not more than 470|kg</w:t>
            </w:r>
          </w:p>
        </w:tc>
      </w:tr>
      <w:tr>
        <w:tc>
          <w:tcPr>
            <w:tcW w:type="dxa" w:w="1984"/>
          </w:tcPr>
          <w:p>
            <w:pPr>
              <w:pStyle w:val="Smallintable"/>
            </w:pPr>
            <w:r>
              <w:t>0102295919</w:t>
            </w:r>
          </w:p>
        </w:tc>
        <w:tc>
          <w:tcPr>
            <w:tcW w:type="dxa" w:w="8561"/>
          </w:tcPr>
          <w:p>
            <w:pPr>
              <w:pStyle w:val="Smallintable"/>
            </w:pPr>
            <w:r>
              <w:t>Other</w:t>
            </w:r>
          </w:p>
        </w:tc>
      </w:tr>
      <w:tr>
        <w:tc>
          <w:tcPr>
            <w:tcW w:type="dxa" w:w="1984"/>
          </w:tcPr>
          <w:p>
            <w:pPr>
              <w:pStyle w:val="Smallintable"/>
            </w:pPr>
            <w:r>
              <w:t>0102295931</w:t>
            </w:r>
          </w:p>
        </w:tc>
        <w:tc>
          <w:tcPr>
            <w:tcW w:type="dxa" w:w="8561"/>
          </w:tcPr>
          <w:p>
            <w:pPr>
              <w:pStyle w:val="Smallintable"/>
            </w:pPr>
            <w:r>
              <w:t>Not yet having any permanent teeth, of a weight of not less than 320|kg but not more than 470|kg</w:t>
            </w:r>
          </w:p>
        </w:tc>
      </w:tr>
      <w:tr>
        <w:tc>
          <w:tcPr>
            <w:tcW w:type="dxa" w:w="1984"/>
          </w:tcPr>
          <w:p>
            <w:pPr>
              <w:pStyle w:val="Smallintable"/>
            </w:pPr>
            <w:r>
              <w:t>0102295939</w:t>
            </w:r>
          </w:p>
        </w:tc>
        <w:tc>
          <w:tcPr>
            <w:tcW w:type="dxa" w:w="8561"/>
          </w:tcPr>
          <w:p>
            <w:pPr>
              <w:pStyle w:val="Smallintable"/>
            </w:pPr>
            <w:r>
              <w:t>Other</w:t>
            </w:r>
          </w:p>
        </w:tc>
      </w:tr>
      <w:tr>
        <w:tc>
          <w:tcPr>
            <w:tcW w:type="dxa" w:w="1984"/>
          </w:tcPr>
          <w:p>
            <w:pPr>
              <w:pStyle w:val="Smallintable"/>
            </w:pPr>
            <w:r>
              <w:t>0102296910</w:t>
            </w:r>
          </w:p>
        </w:tc>
        <w:tc>
          <w:tcPr>
            <w:tcW w:type="dxa" w:w="8561"/>
          </w:tcPr>
          <w:p>
            <w:pPr>
              <w:pStyle w:val="Smallintable"/>
            </w:pPr>
            <w:r>
              <w:t>Heifers of the grey, brown or yellow mountain breeds and spotted Pinzgau breed</w:t>
            </w:r>
          </w:p>
        </w:tc>
      </w:tr>
      <w:tr>
        <w:tc>
          <w:tcPr>
            <w:tcW w:type="dxa" w:w="1984"/>
          </w:tcPr>
          <w:p>
            <w:pPr>
              <w:pStyle w:val="Smallintable"/>
            </w:pPr>
            <w:r>
              <w:t>0102296930</w:t>
            </w:r>
          </w:p>
        </w:tc>
        <w:tc>
          <w:tcPr>
            <w:tcW w:type="dxa" w:w="8561"/>
          </w:tcPr>
          <w:p>
            <w:pPr>
              <w:pStyle w:val="Smallintable"/>
            </w:pPr>
            <w:r>
              <w:t>Of the spotted Simmental breed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0102291020</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0102291040</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0102292920</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0102292940</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0102294920</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0102294940</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0102295911</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0102295919</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0102295931</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0102295939</w:t>
            </w:r>
          </w:p>
        </w:tc>
        <w:tc>
          <w:tcPr>
            <w:tcW w:type="dxa" w:w="4706"/>
          </w:tcPr>
          <w:p>
            <w:pPr>
              <w:pStyle w:val="Smallintable"/>
            </w:pPr>
            <w:r>
              <w:t>123 [Non preferential tariff quota under end-use]</w:t>
            </w:r>
          </w:p>
        </w:tc>
        <w:tc>
          <w:tcPr>
            <w:tcW w:type="dxa" w:w="3855"/>
          </w:tcPr>
          <w:p>
            <w:pPr>
              <w:pStyle w:val="Smallintable"/>
            </w:pPr>
            <w:r>
              <w:t>6.0%</w:t>
            </w:r>
          </w:p>
        </w:tc>
      </w:tr>
      <w:tr>
        <w:tc>
          <w:tcPr>
            <w:tcW w:type="dxa" w:w="1984"/>
          </w:tcPr>
          <w:p>
            <w:pPr>
              <w:pStyle w:val="Smallintable"/>
            </w:pPr>
            <w:r>
              <w:t>0102296910</w:t>
            </w:r>
          </w:p>
        </w:tc>
        <w:tc>
          <w:tcPr>
            <w:tcW w:type="dxa" w:w="4706"/>
          </w:tcPr>
          <w:p>
            <w:pPr>
              <w:pStyle w:val="Smallintable"/>
            </w:pPr>
            <w:r>
              <w:t>123 [Non preferential tariff quota under end-use]</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Transfer from licence system to FCFS (see Commission Regulation (EC) No 438/2009 of 26/05/2009 (OJ L 128 of 27/05/2009) COMMISSION REGULATION (EC) No 438/2009 of 26 May 2009 opening and providing for the administration of Community tariff quotas for bulls, cows and heifers other than for slaughter of certain Alpine and mountain breeds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710.00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