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 potatoes other than those intended for human consumption</w:t>
            </w:r>
          </w:p>
        </w:tc>
      </w:tr>
      <w:tr>
        <w:tc>
          <w:tcPr>
            <w:tcW w:type="dxa" w:w="2608"/>
          </w:tcPr>
          <w:p>
            <w:pPr>
              <w:pStyle w:val="Smallintable"/>
            </w:pPr>
            <w:r>
              <w:t>Country</w:t>
            </w:r>
          </w:p>
        </w:tc>
        <w:tc>
          <w:tcPr>
            <w:tcW w:type="dxa" w:w="7937"/>
          </w:tcPr>
          <w:p>
            <w:pPr>
              <w:pStyle w:val="Smallintable"/>
            </w:pPr>
            <w:r>
              <w:t>China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600,000,000.00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R101085</w:t>
            </w:r>
          </w:p>
        </w:tc>
        <w:tc>
          <w:tcPr>
            <w:tcW w:type="dxa" w:w="8277"/>
          </w:tcPr>
          <w:p>
            <w:pPr>
              <w:pStyle w:val="Smallintable"/>
            </w:pPr>
            <w:r>
              <w:t>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CN</w:t>
            </w:r>
          </w:p>
        </w:tc>
        <w:tc>
          <w:tcPr>
            <w:tcW w:type="dxa" w:w="8277"/>
          </w:tcPr>
          <w:p>
            <w:pPr>
              <w:pStyle w:val="Smallintable"/>
            </w:pPr>
            <w:r>
              <w:t>China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0714209000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1085/2010 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