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Onions, fresh or chilled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16-05-2017 - 14-02-2018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0703101100</w:t>
            </w:r>
          </w:p>
        </w:tc>
        <w:tc>
          <w:tcPr>
            <w:tcW w:type="dxa" w:w="8561"/>
          </w:tcPr>
          <w:p>
            <w:pPr>
              <w:pStyle w:val="Smallintable"/>
            </w:pPr>
            <w:r>
              <w:t>Sets</w:t>
            </w:r>
          </w:p>
        </w:tc>
      </w:tr>
      <w:tr>
        <w:tc>
          <w:tcPr>
            <w:tcW w:type="dxa" w:w="1984"/>
          </w:tcPr>
          <w:p>
            <w:pPr>
              <w:pStyle w:val="Smallintable"/>
            </w:pPr>
            <w:r>
              <w:t>0703101900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16-05-18 to 14-02-19</w:t>
            </w:r>
          </w:p>
        </w:tc>
        <w:tc>
          <w:tcPr>
            <w:tcW w:type="dxa" w:w="1531"/>
          </w:tcPr>
          <w:p>
            <w:pPr>
              <w:pStyle w:val="Smallintable"/>
            </w:pPr>
            <w:r>
              <w:t>Custom period</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