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Malt extract; food preparations of flour, groats, meal, starch or malt extract</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1901200000</w:t>
            </w:r>
          </w:p>
        </w:tc>
        <w:tc>
          <w:tcPr>
            <w:tcW w:type="dxa" w:w="8561"/>
          </w:tcPr>
          <w:p>
            <w:pPr>
              <w:pStyle w:val="Smallintable"/>
            </w:pPr>
            <w:r>
              <w:t>Mixes and doughs for the preparation of bakers' wares of heading|1905</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