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090676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Crab of the species Geryon affinis, frozen</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R090054</w:t>
            </w:r>
          </w:p>
        </w:tc>
        <w:tc>
          <w:tcPr>
            <w:tcW w:type="dxa" w:w="8277"/>
          </w:tcPr>
          <w:p>
            <w:pPr>
              <w:pStyle w:val="Smallintable"/>
            </w:pPr>
            <w:r>
              <w:t>amending Council Regulation (EC) No 669/97 as regards the opening and management of Community tariff quotas for certain fish and fishery products originating in the Faroe Islands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0306149010</w:t>
            </w:r>
          </w:p>
        </w:tc>
        <w:tc>
          <w:tcPr>
            <w:tcW w:type="dxa" w:w="8561"/>
          </w:tcPr>
          <w:p>
            <w:pPr>
              <w:pStyle w:val="Smallintable"/>
            </w:pPr>
            <w:r>
              <w:t>Crab of the species Geryon affinis</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54/2009 of 21 January 2009 amending Council Regulation (EC) No 669/97 as regards the opening and management of Community tariff quotas for certain fish and fishery products originating in the Faroe Islands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