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090691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shrimps and prawns of the species Pandalus borealis (and Pandalus Montagui as from 01.01.2014)</w:t>
            </w:r>
          </w:p>
        </w:tc>
      </w:tr>
      <w:tr>
        <w:tc>
          <w:tcPr>
            <w:tcW w:type="dxa" w:w="2608"/>
          </w:tcPr>
          <w:p>
            <w:pPr>
              <w:pStyle w:val="Smallintable"/>
            </w:pPr>
            <w:r>
              <w:t>Country</w:t>
            </w:r>
          </w:p>
        </w:tc>
        <w:tc>
          <w:tcPr>
            <w:tcW w:type="dxa" w:w="7937"/>
          </w:tcPr>
          <w:p>
            <w:pPr>
              <w:pStyle w:val="Smallintable"/>
            </w:pPr>
            <w:r>
              <w:t>Greenland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D140461</w:t>
            </w:r>
          </w:p>
        </w:tc>
        <w:tc>
          <w:tcPr>
            <w:tcW w:type="dxa" w:w="8277"/>
          </w:tcPr>
          <w:p>
            <w:pPr>
              <w:pStyle w:val="Smallintable"/>
            </w:pPr>
            <w:r>
              <w:t>on a temporary derogation from Council Decision 2013/755/EU, as regards the rules of origin for prepared and preserved shrimps and prawns from Greenland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GL</w:t>
            </w:r>
          </w:p>
        </w:tc>
        <w:tc>
          <w:tcPr>
            <w:tcW w:type="dxa" w:w="8277"/>
          </w:tcPr>
          <w:p>
            <w:pPr>
              <w:pStyle w:val="Smallintable"/>
            </w:pPr>
            <w:r>
              <w:t>Greenland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1605211050</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1605219040</w:t>
            </w:r>
          </w:p>
        </w:tc>
        <w:tc>
          <w:tcPr>
            <w:tcW w:type="dxa" w:w="8561"/>
          </w:tcPr>
          <w:p>
            <w:pPr>
              <w:pStyle w:val="Smallintable"/>
            </w:pPr>
            <w:r>
              <w:t>shelled, boiled and frozen, but not otherwise prepared</w:t>
            </w:r>
          </w:p>
        </w:tc>
      </w:tr>
      <w:tr>
        <w:tc>
          <w:tcPr>
            <w:tcW w:type="dxa" w:w="1984"/>
          </w:tcPr>
          <w:p>
            <w:pPr>
              <w:pStyle w:val="Smallintable"/>
            </w:pPr>
            <w:r>
              <w:t>1605219045</w:t>
            </w:r>
          </w:p>
        </w:tc>
        <w:tc>
          <w:tcPr>
            <w:tcW w:type="dxa" w:w="8561"/>
          </w:tcPr>
          <w:p>
            <w:pPr>
              <w:pStyle w:val="Smallintable"/>
            </w:pPr>
            <w:r>
              <w:t>cooked and peeled for processing</w:t>
            </w:r>
          </w:p>
        </w:tc>
      </w:tr>
      <w:tr>
        <w:tc>
          <w:tcPr>
            <w:tcW w:type="dxa" w:w="1984"/>
          </w:tcPr>
          <w:p>
            <w:pPr>
              <w:pStyle w:val="Smallintable"/>
            </w:pPr>
            <w:r>
              <w:t>1605219049</w:t>
            </w:r>
          </w:p>
        </w:tc>
        <w:tc>
          <w:tcPr>
            <w:tcW w:type="dxa" w:w="8561"/>
          </w:tcPr>
          <w:p>
            <w:pPr>
              <w:pStyle w:val="Smallintable"/>
            </w:pPr>
            <w:r>
              <w:t>Other</w:t>
            </w:r>
          </w:p>
        </w:tc>
      </w:tr>
      <w:tr>
        <w:tc>
          <w:tcPr>
            <w:tcW w:type="dxa" w:w="1984"/>
          </w:tcPr>
          <w:p>
            <w:pPr>
              <w:pStyle w:val="Smallintable"/>
            </w:pPr>
            <w:r>
              <w:t>1605219060</w:t>
            </w:r>
          </w:p>
        </w:tc>
        <w:tc>
          <w:tcPr>
            <w:tcW w:type="dxa" w:w="8561"/>
          </w:tcPr>
          <w:p>
            <w:pPr>
              <w:pStyle w:val="Smallintable"/>
            </w:pPr>
            <w:r>
              <w:t>shelled, boiled and frozen, but not otherwise prepared</w:t>
            </w:r>
          </w:p>
        </w:tc>
      </w:tr>
      <w:tr>
        <w:tc>
          <w:tcPr>
            <w:tcW w:type="dxa" w:w="1984"/>
          </w:tcPr>
          <w:p>
            <w:pPr>
              <w:pStyle w:val="Smallintable"/>
            </w:pPr>
            <w:r>
              <w:t>1605219065</w:t>
            </w:r>
          </w:p>
        </w:tc>
        <w:tc>
          <w:tcPr>
            <w:tcW w:type="dxa" w:w="8561"/>
          </w:tcPr>
          <w:p>
            <w:pPr>
              <w:pStyle w:val="Smallintable"/>
            </w:pPr>
            <w:r>
              <w:t>Other</w:t>
            </w:r>
          </w:p>
        </w:tc>
      </w:tr>
      <w:tr>
        <w:tc>
          <w:tcPr>
            <w:tcW w:type="dxa" w:w="1984"/>
          </w:tcPr>
          <w:p>
            <w:pPr>
              <w:pStyle w:val="Smallintable"/>
            </w:pPr>
            <w:r>
              <w:t>1605290040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1605290045</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1605290050</w:t>
            </w:r>
          </w:p>
        </w:tc>
        <w:tc>
          <w:tcPr>
            <w:tcW w:type="dxa" w:w="8561"/>
          </w:tcPr>
          <w:p>
            <w:pPr>
              <w:pStyle w:val="Smallintable"/>
            </w:pPr>
            <w:r>
              <w:t>Shrimps and prawns of the species Pandalus borealis, cooked and peeled for processing</w:t>
            </w:r>
          </w:p>
        </w:tc>
      </w:tr>
      <w:tr>
        <w:tc>
          <w:tcPr>
            <w:tcW w:type="dxa" w:w="1984"/>
          </w:tcPr>
          <w:p>
            <w:pPr>
              <w:pStyle w:val="Smallintable"/>
            </w:pPr>
            <w:r>
              <w:t>1605290055</w:t>
            </w:r>
          </w:p>
        </w:tc>
        <w:tc>
          <w:tcPr>
            <w:tcW w:type="dxa" w:w="8561"/>
          </w:tcPr>
          <w:p>
            <w:pPr>
              <w:pStyle w:val="Smallintable"/>
            </w:pPr>
            <w:r>
              <w:t>Shrimps and prawns of the species Pandalus montagui, cooked and peeled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DECISION on a derogation from Council Decision 2013/755/EC, as regards the rules of origin for prepared and preserved shrimps and prawns from Greenland (2014/461/UE) (OJ L 207, 15.07.2014, p. 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