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090692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Lesser or Greenland halibut ; Fish fillets, frozen of halibut ; Frozen shrimps and prawns</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t>Regulation EC 660/2002 that creates this order number if for a tariff quota from Greenland. There is not indication where this changed to be a EO TQ for halibut, shrimps and prawns</w:t>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R020660</w:t>
            </w:r>
          </w:p>
        </w:tc>
        <w:tc>
          <w:tcPr>
            <w:tcW w:type="dxa" w:w="8277"/>
          </w:tcPr>
          <w:p>
            <w:pPr>
              <w:pStyle w:val="Smallintable"/>
            </w:pPr>
            <w:r>
              <w:t>opening and providing for the management of tariff quotas for certain fisheries products from Greenland and Saint Pierre and Miquelon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0303311000</w:t>
            </w:r>
          </w:p>
        </w:tc>
        <w:tc>
          <w:tcPr>
            <w:tcW w:type="dxa" w:w="8561"/>
          </w:tcPr>
          <w:p>
            <w:pPr>
              <w:pStyle w:val="Smallintable"/>
            </w:pPr>
            <w:r>
              <w:t>Lesser or Greenland halibut (Reinhardtius hippoglossoides)</w:t>
            </w:r>
          </w:p>
        </w:tc>
      </w:tr>
      <w:tr>
        <w:tc>
          <w:tcPr>
            <w:tcW w:type="dxa" w:w="1984"/>
          </w:tcPr>
          <w:p>
            <w:pPr>
              <w:pStyle w:val="Smallintable"/>
            </w:pPr>
            <w:r>
              <w:t>0304839011</w:t>
            </w:r>
          </w:p>
        </w:tc>
        <w:tc>
          <w:tcPr>
            <w:tcW w:type="dxa" w:w="8561"/>
          </w:tcPr>
          <w:p>
            <w:pPr>
              <w:pStyle w:val="Smallintable"/>
            </w:pPr>
            <w:r>
              <w:t>Reinhardtius hippoglossoides</w:t>
            </w:r>
          </w:p>
        </w:tc>
      </w:tr>
      <w:tr>
        <w:tc>
          <w:tcPr>
            <w:tcW w:type="dxa" w:w="1984"/>
          </w:tcPr>
          <w:p>
            <w:pPr>
              <w:pStyle w:val="Smallintable"/>
            </w:pPr>
            <w:r>
              <w:t>0304839019</w:t>
            </w:r>
          </w:p>
        </w:tc>
        <w:tc>
          <w:tcPr>
            <w:tcW w:type="dxa" w:w="8561"/>
          </w:tcPr>
          <w:p>
            <w:pPr>
              <w:pStyle w:val="Smallintable"/>
            </w:pPr>
            <w:r>
              <w:t>Other</w:t>
            </w:r>
          </w:p>
        </w:tc>
      </w:tr>
      <w:tr>
        <w:tc>
          <w:tcPr>
            <w:tcW w:type="dxa" w:w="1984"/>
          </w:tcPr>
          <w:p>
            <w:pPr>
              <w:pStyle w:val="Smallintable"/>
            </w:pPr>
            <w:r>
              <w:t>0306169900</w:t>
            </w:r>
          </w:p>
        </w:tc>
        <w:tc>
          <w:tcPr>
            <w:tcW w:type="dxa" w:w="8561"/>
          </w:tcPr>
          <w:p>
            <w:pPr>
              <w:pStyle w:val="Smallintable"/>
            </w:pPr>
            <w:r>
              <w:t>Other</w:t>
            </w:r>
          </w:p>
        </w:tc>
      </w:tr>
      <w:tr>
        <w:tc>
          <w:tcPr>
            <w:tcW w:type="dxa" w:w="1984"/>
          </w:tcPr>
          <w:p>
            <w:pPr>
              <w:pStyle w:val="Smallintable"/>
            </w:pPr>
            <w:r>
              <w:t>0306179300</w:t>
            </w:r>
          </w:p>
        </w:tc>
        <w:tc>
          <w:tcPr>
            <w:tcW w:type="dxa" w:w="8561"/>
          </w:tcPr>
          <w:p>
            <w:pPr>
              <w:pStyle w:val="Smallintable"/>
            </w:pPr>
            <w:r>
              <w:t>Shrimps of the family Pandalidae, other than of the genus Pandalus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0303311000</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0304839011</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0304839019</w:t>
            </w:r>
          </w:p>
        </w:tc>
        <w:tc>
          <w:tcPr>
            <w:tcW w:type="dxa" w:w="4706"/>
          </w:tcPr>
          <w:p>
            <w:pPr>
              <w:pStyle w:val="Smallintable"/>
            </w:pPr>
            <w:r>
              <w:t>122 [Non preferential tariff quota]</w:t>
            </w:r>
          </w:p>
        </w:tc>
        <w:tc>
          <w:tcPr>
            <w:tcW w:type="dxa" w:w="3855"/>
          </w:tcPr>
          <w:p>
            <w:pPr>
              <w:pStyle w:val="Smallintable"/>
            </w:pPr>
            <w:r>
              <w:t>0.0%</w:t>
            </w:r>
          </w:p>
        </w:tc>
      </w:tr>
      <w:tr>
        <w:tc>
          <w:tcPr>
            <w:tcW w:type="dxa" w:w="1984"/>
          </w:tcPr>
          <w:p>
            <w:pPr>
              <w:pStyle w:val="Smallintable"/>
            </w:pPr>
            <w:r>
              <w:t>0306169900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660/2002 opening and providing for the management of tariff quotas for certain fisheries products from Greenland and Saint Pierre and Miquelon (OJ L 102/14)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