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Prepared or preserved fish of tunas, skipjack or other fish of the genus Euthynnus, other than whole or in pieces </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742,000.00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R060847</w:t>
            </w:r>
          </w:p>
        </w:tc>
        <w:tc>
          <w:tcPr>
            <w:tcW w:type="dxa" w:w="8277"/>
          </w:tcPr>
          <w:p>
            <w:pPr>
              <w:pStyle w:val="Smallintable"/>
            </w:pPr>
            <w:r>
              <w:t>opening and providing for the administration of Community tariff quotas for certain prepared or preserved fish</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1604207000</w:t>
            </w:r>
          </w:p>
        </w:tc>
        <w:tc>
          <w:tcPr>
            <w:tcW w:type="dxa" w:w="8561"/>
          </w:tcPr>
          <w:p>
            <w:pPr>
              <w:pStyle w:val="Smallintable"/>
            </w:pPr>
            <w:r>
              <w:t>Of tuna, skipjack or other fish of the genus Euthynnus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847/2006 opening and providing for the administration of Community tariff quotas for certain prepared or preserved fish (OJ L 156/8)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742,000.00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