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090708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Manioc</w:t>
            </w:r>
          </w:p>
        </w:tc>
      </w:tr>
      <w:tr>
        <w:tc>
          <w:tcPr>
            <w:tcW w:type="dxa" w:w="2608"/>
          </w:tcPr>
          <w:p>
            <w:pPr>
              <w:pStyle w:val="Smallintable"/>
            </w:pPr>
            <w:r>
              <w:t>Country</w:t>
            </w:r>
          </w:p>
        </w:tc>
        <w:tc>
          <w:tcPr>
            <w:tcW w:type="dxa" w:w="7937"/>
          </w:tcPr>
          <w:p>
            <w:pPr>
              <w:pStyle w:val="Smallintable"/>
            </w:pPr>
            <w:r>
              <w:t>Thailand</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5,750,000,000.00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R071475</w:t>
            </w:r>
          </w:p>
        </w:tc>
        <w:tc>
          <w:tcPr>
            <w:tcW w:type="dxa" w:w="8277"/>
          </w:tcPr>
          <w:p>
            <w:pPr>
              <w:pStyle w:val="Smallintable"/>
            </w:pPr>
            <w:r>
              <w:t>opening a Community tariff quota from 2008 for manioc originating from Thailand</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TH</w:t>
            </w:r>
          </w:p>
        </w:tc>
        <w:tc>
          <w:tcPr>
            <w:tcW w:type="dxa" w:w="8277"/>
          </w:tcPr>
          <w:p>
            <w:pPr>
              <w:pStyle w:val="Smallintable"/>
            </w:pPr>
            <w:r>
              <w:t>Thailand</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0714100000</w:t>
            </w:r>
          </w:p>
        </w:tc>
        <w:tc>
          <w:tcPr>
            <w:tcW w:type="dxa" w:w="8561"/>
          </w:tcPr>
          <w:p>
            <w:pPr>
              <w:pStyle w:val="Smallintable"/>
            </w:pPr>
            <w:r>
              <w:t>Manioc (cassava)</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1475/2007 opening a Community tariff quota from 2008 for manioc originating from Thailand (OJ L 329/15)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5,750,000,000.00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