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090772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alcool ethyl,eaux de vie denat</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1,434,000.00</w:t>
            </w:r>
          </w:p>
        </w:tc>
      </w:tr>
      <w:tr>
        <w:tc>
          <w:tcPr>
            <w:tcW w:type="dxa" w:w="2608"/>
          </w:tcPr>
          <w:p>
            <w:pPr>
              <w:pStyle w:val="Smallintable"/>
            </w:pPr>
            <w:r>
              <w:t>Unit</w:t>
            </w:r>
          </w:p>
        </w:tc>
        <w:tc>
          <w:tcPr>
            <w:tcW w:type="dxa" w:w="7937"/>
          </w:tcPr>
          <w:p>
            <w:pPr>
              <w:pStyle w:val="Smallintable"/>
            </w:pPr>
            <w:r>
              <w:t>LTR</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R080065</w:t>
            </w:r>
          </w:p>
        </w:tc>
        <w:tc>
          <w:tcPr>
            <w:tcW w:type="dxa" w:w="8277"/>
          </w:tcPr>
          <w:p>
            <w:pPr>
              <w:pStyle w:val="Smallintable"/>
            </w:pPr>
            <w:r>
              <w:t>opening tariff quotas for 2008 and for the following years for imports into the European Community of certain goods originating in Norway resulting from the processing of agricultural products covered by Council Regulation (EC) No 3448/93</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2207200090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65/2008 of 25 January 2008 opening tariff quotas for 2008 and for the following years for imports into the European Community of certain goods originating in Norway resulting from the processing of agricultural products covered by Council Regulation (EC) No 3448/93. (Oj L 23/9 of the 26.01.2008)</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1,434,000.00</w:t>
            </w:r>
          </w:p>
        </w:tc>
        <w:tc>
          <w:tcPr>
            <w:tcW w:type="dxa" w:w="1417"/>
          </w:tcPr>
          <w:p>
            <w:pPr>
              <w:pStyle w:val="Smallintable"/>
            </w:pPr>
            <w:r>
              <w:t xml:space="preserve">LTR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