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090795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Herring, salted but not dried or smoked, and herring in brine.</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1,750,000.00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R161219</w:t>
            </w:r>
          </w:p>
        </w:tc>
        <w:tc>
          <w:tcPr>
            <w:tcW w:type="dxa" w:w="8277"/>
          </w:tcPr>
          <w:p>
            <w:pPr>
              <w:pStyle w:val="Smallintable"/>
            </w:pPr>
            <w:r>
              <w:t>amending Council Regulation (EC) No 499/96 as regards Union tariff quotas for certain fish and fishery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0305610000</w:t>
            </w:r>
          </w:p>
        </w:tc>
        <w:tc>
          <w:tcPr>
            <w:tcW w:type="dxa" w:w="8561"/>
          </w:tcPr>
          <w:p>
            <w:pPr>
              <w:pStyle w:val="Smallintable"/>
            </w:pPr>
            <w:r>
              <w:t>Herrings (Clupea harengus, Clupea pallasii)</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2016/1219 of 26 July 2016 amending Council Regulation (EC) No 499/96 as regards Union tariff quotas for certain fish and fishery products originating in Iceland (OJ L 201/2, 27.07.2016)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