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herrings (Clupea harengus, Clupea pallasii), fresh or chilled</w:t>
              <w:br/>
              <w:br/>
              <w:t>Flaps of herring, fresh or chilled</w:t>
              <w:br/>
              <w:br/>
              <w:br/>
              <w:br/>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13,500,000.00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0304499010</w:t>
            </w:r>
          </w:p>
        </w:tc>
        <w:tc>
          <w:tcPr>
            <w:tcW w:type="dxa" w:w="8561"/>
          </w:tcPr>
          <w:p>
            <w:pPr>
              <w:pStyle w:val="Smallintable"/>
            </w:pPr>
            <w:r>
              <w:t>Herrings</w:t>
            </w:r>
          </w:p>
        </w:tc>
      </w:tr>
      <w:tr>
        <w:tc>
          <w:tcPr>
            <w:tcW w:type="dxa" w:w="1984"/>
          </w:tcPr>
          <w:p>
            <w:pPr>
              <w:pStyle w:val="Smallintable"/>
            </w:pPr>
            <w:r>
              <w:t>0304595000</w:t>
            </w:r>
          </w:p>
        </w:tc>
        <w:tc>
          <w:tcPr>
            <w:tcW w:type="dxa" w:w="8561"/>
          </w:tcPr>
          <w:p>
            <w:pPr>
              <w:pStyle w:val="Smallintable"/>
            </w:pPr>
            <w:r>
              <w:t>Flaps of herring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