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090830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R180720</w:t>
            </w:r>
          </w:p>
        </w:tc>
        <w:tc>
          <w:tcPr>
            <w:tcW w:type="dxa" w:w="8277"/>
          </w:tcPr>
          <w:p>
            <w:pPr>
              <w:pStyle w:val="Smallintable"/>
            </w:pPr>
            <w:r>
              <w:t>opening and providing for the management of a Union tariff quota for poultry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0207000000</w:t>
            </w:r>
          </w:p>
        </w:tc>
        <w:tc>
          <w:tcPr>
            <w:tcW w:type="dxa" w:w="8561"/>
          </w:tcPr>
          <w:p>
            <w:pPr>
              <w:pStyle w:val="Smallintable"/>
            </w:pPr>
            <w:r>
              <w:t>Meat and edible offal, of the poultry of heading|0105, fresh, chilled or frozen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2018/720 of 16 May 2018 opening and providing for the management of a Union tariff quota for poultry originating in Iceland (OJ L 122/2)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31-12-18</w:t>
            </w:r>
          </w:p>
        </w:tc>
        <w:tc>
          <w:tcPr>
            <w:tcW w:type="dxa" w:w="1531"/>
          </w:tcPr>
          <w:p>
            <w:pPr>
              <w:pStyle w:val="Smallintable"/>
            </w:pPr>
            <w:r>
              <w:t>8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