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 juice</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2009893521</w:t>
            </w:r>
          </w:p>
        </w:tc>
        <w:tc>
          <w:tcPr>
            <w:tcW w:type="dxa" w:w="8561"/>
          </w:tcPr>
          <w:p>
            <w:pPr>
              <w:pStyle w:val="Smallintable"/>
            </w:pPr>
            <w:r>
              <w:t>With an added sugar content not exceeding 30|% by weight</w:t>
            </w:r>
          </w:p>
        </w:tc>
      </w:tr>
      <w:tr>
        <w:tc>
          <w:tcPr>
            <w:tcW w:type="dxa" w:w="1984"/>
          </w:tcPr>
          <w:p>
            <w:pPr>
              <w:pStyle w:val="Smallintable"/>
            </w:pPr>
            <w:r>
              <w:t>2009893529</w:t>
            </w:r>
          </w:p>
        </w:tc>
        <w:tc>
          <w:tcPr>
            <w:tcW w:type="dxa" w:w="8561"/>
          </w:tcPr>
          <w:p>
            <w:pPr>
              <w:pStyle w:val="Smallintable"/>
            </w:pPr>
            <w:r>
              <w:t>Other</w:t>
            </w:r>
          </w:p>
        </w:tc>
      </w:tr>
      <w:tr>
        <w:tc>
          <w:tcPr>
            <w:tcW w:type="dxa" w:w="1984"/>
          </w:tcPr>
          <w:p>
            <w:pPr>
              <w:pStyle w:val="Smallintable"/>
            </w:pPr>
            <w:r>
              <w:t>2009893531</w:t>
            </w:r>
          </w:p>
        </w:tc>
        <w:tc>
          <w:tcPr>
            <w:tcW w:type="dxa" w:w="8561"/>
          </w:tcPr>
          <w:p>
            <w:pPr>
              <w:pStyle w:val="Smallintable"/>
            </w:pPr>
            <w:r>
              <w:t>With an added sugar content not exceeding 30|% by weight</w:t>
            </w:r>
          </w:p>
        </w:tc>
      </w:tr>
      <w:tr>
        <w:tc>
          <w:tcPr>
            <w:tcW w:type="dxa" w:w="1984"/>
          </w:tcPr>
          <w:p>
            <w:pPr>
              <w:pStyle w:val="Smallintable"/>
            </w:pPr>
            <w:r>
              <w:t>2009893539</w:t>
            </w:r>
          </w:p>
        </w:tc>
        <w:tc>
          <w:tcPr>
            <w:tcW w:type="dxa" w:w="8561"/>
          </w:tcPr>
          <w:p>
            <w:pPr>
              <w:pStyle w:val="Smallintable"/>
            </w:pPr>
            <w:r>
              <w:t>Other</w:t>
            </w:r>
          </w:p>
        </w:tc>
      </w:tr>
      <w:tr>
        <w:tc>
          <w:tcPr>
            <w:tcW w:type="dxa" w:w="1984"/>
          </w:tcPr>
          <w:p>
            <w:pPr>
              <w:pStyle w:val="Smallintable"/>
            </w:pPr>
            <w:r>
              <w:t>2009893811</w:t>
            </w:r>
          </w:p>
        </w:tc>
        <w:tc>
          <w:tcPr>
            <w:tcW w:type="dxa" w:w="8561"/>
          </w:tcPr>
          <w:p>
            <w:pPr>
              <w:pStyle w:val="Smallintable"/>
            </w:pPr>
            <w:r>
              <w:t>powdered</w:t>
            </w:r>
          </w:p>
        </w:tc>
      </w:tr>
      <w:tr>
        <w:tc>
          <w:tcPr>
            <w:tcW w:type="dxa" w:w="1984"/>
          </w:tcPr>
          <w:p>
            <w:pPr>
              <w:pStyle w:val="Smallintable"/>
            </w:pPr>
            <w:r>
              <w:t>2009893819</w:t>
            </w:r>
          </w:p>
        </w:tc>
        <w:tc>
          <w:tcPr>
            <w:tcW w:type="dxa" w:w="8561"/>
          </w:tcPr>
          <w:p>
            <w:pPr>
              <w:pStyle w:val="Smallintable"/>
            </w:pPr>
            <w:r>
              <w:t>Other</w:t>
            </w:r>
          </w:p>
        </w:tc>
      </w:tr>
      <w:tr>
        <w:tc>
          <w:tcPr>
            <w:tcW w:type="dxa" w:w="1984"/>
          </w:tcPr>
          <w:p>
            <w:pPr>
              <w:pStyle w:val="Smallintable"/>
            </w:pPr>
            <w:r>
              <w:t>2009897911</w:t>
            </w:r>
          </w:p>
        </w:tc>
        <w:tc>
          <w:tcPr>
            <w:tcW w:type="dxa" w:w="8561"/>
          </w:tcPr>
          <w:p>
            <w:pPr>
              <w:pStyle w:val="Smallintable"/>
            </w:pPr>
            <w:r>
              <w:t>powdered</w:t>
            </w:r>
          </w:p>
        </w:tc>
      </w:tr>
      <w:tr>
        <w:tc>
          <w:tcPr>
            <w:tcW w:type="dxa" w:w="1984"/>
          </w:tcPr>
          <w:p>
            <w:pPr>
              <w:pStyle w:val="Smallintable"/>
            </w:pPr>
            <w:r>
              <w:t>2009897919</w:t>
            </w:r>
          </w:p>
        </w:tc>
        <w:tc>
          <w:tcPr>
            <w:tcW w:type="dxa" w:w="8561"/>
          </w:tcPr>
          <w:p>
            <w:pPr>
              <w:pStyle w:val="Smallintable"/>
            </w:pPr>
            <w:r>
              <w:t>Other</w:t>
            </w:r>
          </w:p>
        </w:tc>
      </w:tr>
      <w:tr>
        <w:tc>
          <w:tcPr>
            <w:tcW w:type="dxa" w:w="1984"/>
          </w:tcPr>
          <w:p>
            <w:pPr>
              <w:pStyle w:val="Smallintable"/>
            </w:pPr>
            <w:r>
              <w:t>2009898611</w:t>
            </w:r>
          </w:p>
        </w:tc>
        <w:tc>
          <w:tcPr>
            <w:tcW w:type="dxa" w:w="8561"/>
          </w:tcPr>
          <w:p>
            <w:pPr>
              <w:pStyle w:val="Smallintable"/>
            </w:pPr>
            <w:r>
              <w:t>powdered</w:t>
            </w:r>
          </w:p>
        </w:tc>
      </w:tr>
      <w:tr>
        <w:tc>
          <w:tcPr>
            <w:tcW w:type="dxa" w:w="1984"/>
          </w:tcPr>
          <w:p>
            <w:pPr>
              <w:pStyle w:val="Smallintable"/>
            </w:pPr>
            <w:r>
              <w:t>2009898619</w:t>
            </w:r>
          </w:p>
        </w:tc>
        <w:tc>
          <w:tcPr>
            <w:tcW w:type="dxa" w:w="8561"/>
          </w:tcPr>
          <w:p>
            <w:pPr>
              <w:pStyle w:val="Smallintable"/>
            </w:pPr>
            <w:r>
              <w:t>Other</w:t>
            </w:r>
          </w:p>
        </w:tc>
      </w:tr>
      <w:tr>
        <w:tc>
          <w:tcPr>
            <w:tcW w:type="dxa" w:w="1984"/>
          </w:tcPr>
          <w:p>
            <w:pPr>
              <w:pStyle w:val="Smallintable"/>
            </w:pPr>
            <w:r>
              <w:t>2009898911</w:t>
            </w:r>
          </w:p>
        </w:tc>
        <w:tc>
          <w:tcPr>
            <w:tcW w:type="dxa" w:w="8561"/>
          </w:tcPr>
          <w:p>
            <w:pPr>
              <w:pStyle w:val="Smallintable"/>
            </w:pPr>
            <w:r>
              <w:t>powdered</w:t>
            </w:r>
          </w:p>
        </w:tc>
      </w:tr>
      <w:tr>
        <w:tc>
          <w:tcPr>
            <w:tcW w:type="dxa" w:w="1984"/>
          </w:tcPr>
          <w:p>
            <w:pPr>
              <w:pStyle w:val="Smallintable"/>
            </w:pPr>
            <w:r>
              <w:t>2009898919</w:t>
            </w:r>
          </w:p>
        </w:tc>
        <w:tc>
          <w:tcPr>
            <w:tcW w:type="dxa" w:w="8561"/>
          </w:tcPr>
          <w:p>
            <w:pPr>
              <w:pStyle w:val="Smallintable"/>
            </w:pPr>
            <w:r>
              <w:t>Other</w:t>
            </w:r>
          </w:p>
        </w:tc>
      </w:tr>
      <w:tr>
        <w:tc>
          <w:tcPr>
            <w:tcW w:type="dxa" w:w="1984"/>
          </w:tcPr>
          <w:p>
            <w:pPr>
              <w:pStyle w:val="Smallintable"/>
            </w:pPr>
            <w:r>
              <w:t>2009899915</w:t>
            </w:r>
          </w:p>
        </w:tc>
        <w:tc>
          <w:tcPr>
            <w:tcW w:type="dxa" w:w="8561"/>
          </w:tcPr>
          <w:p>
            <w:pPr>
              <w:pStyle w:val="Smallintable"/>
            </w:pPr>
            <w:r>
              <w:t>Apricot juice</w:t>
            </w:r>
          </w:p>
        </w:tc>
      </w:tr>
      <w:tr>
        <w:tc>
          <w:tcPr>
            <w:tcW w:type="dxa" w:w="1984"/>
          </w:tcPr>
          <w:p>
            <w:pPr>
              <w:pStyle w:val="Smallintable"/>
            </w:pPr>
            <w:r>
              <w:t>2009899992</w:t>
            </w:r>
          </w:p>
        </w:tc>
        <w:tc>
          <w:tcPr>
            <w:tcW w:type="dxa" w:w="8561"/>
          </w:tcPr>
          <w:p>
            <w:pPr>
              <w:pStyle w:val="Smallintable"/>
            </w:pPr>
            <w:r>
              <w:t>Apricot juice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