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fresh or chilled</w:t>
            </w:r>
          </w:p>
        </w:tc>
      </w:tr>
      <w:tr>
        <w:tc>
          <w:tcPr>
            <w:tcW w:type="dxa" w:w="2608"/>
          </w:tcPr>
          <w:p>
            <w:pPr>
              <w:pStyle w:val="Smallintable"/>
            </w:pPr>
            <w:r>
              <w:t>Country</w:t>
            </w:r>
          </w:p>
        </w:tc>
        <w:tc>
          <w:tcPr>
            <w:tcW w:type="dxa" w:w="7937"/>
          </w:tcPr>
          <w:p>
            <w:pPr>
              <w:pStyle w:val="Smallintable"/>
            </w:pPr>
            <w:r>
              <w:t>Morocco</w:t>
            </w:r>
          </w:p>
        </w:tc>
      </w:tr>
      <w:tr>
        <w:tc>
          <w:tcPr>
            <w:tcW w:type="dxa" w:w="2608"/>
          </w:tcPr>
          <w:p>
            <w:pPr>
              <w:pStyle w:val="Smallintable"/>
            </w:pPr>
            <w:r>
              <w:t>Application period</w:t>
            </w:r>
          </w:p>
        </w:tc>
        <w:tc>
          <w:tcPr>
            <w:tcW w:type="dxa" w:w="7937"/>
          </w:tcPr>
          <w:p>
            <w:pPr>
              <w:pStyle w:val="Smallintable"/>
            </w:pPr>
            <w:r>
              <w:t>01-10-2017 - 31-05-2018</w:t>
            </w:r>
          </w:p>
        </w:tc>
      </w:tr>
      <w:tr>
        <w:tc>
          <w:tcPr>
            <w:tcW w:type="dxa" w:w="2608"/>
          </w:tcPr>
          <w:p>
            <w:pPr>
              <w:pStyle w:val="Smallintable"/>
            </w:pPr>
            <w:r>
              <w:t>Overall quota volume</w:t>
            </w:r>
          </w:p>
        </w:tc>
        <w:tc>
          <w:tcPr>
            <w:tcW w:type="dxa" w:w="7937"/>
          </w:tcPr>
          <w:p>
            <w:pPr>
              <w:pStyle w:val="Smallintable"/>
            </w:pPr>
            <w:r>
              <w:t>213,500,000.00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MA</w:t>
            </w:r>
          </w:p>
        </w:tc>
        <w:tc>
          <w:tcPr>
            <w:tcW w:type="dxa" w:w="8277"/>
          </w:tcPr>
          <w:p>
            <w:pPr>
              <w:pStyle w:val="Smallintable"/>
            </w:pPr>
            <w:r>
              <w:t>Morocco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0702000000</w:t>
            </w:r>
          </w:p>
        </w:tc>
        <w:tc>
          <w:tcPr>
            <w:tcW w:type="dxa" w:w="8561"/>
          </w:tcPr>
          <w:p>
            <w:pPr>
              <w:pStyle w:val="Smallintable"/>
            </w:pPr>
            <w:r>
              <w:t>Tomatoes, fresh or chilled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812/2012 amending Council Regulation (EC) No 747/2001 as regards tariff quotas of the Union for certain agricultural and processed agricultural products originating in Morocco</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01-12-17 to 31-12-17</w:t>
            </w:r>
          </w:p>
        </w:tc>
        <w:tc>
          <w:tcPr>
            <w:tcW w:type="dxa" w:w="1531"/>
          </w:tcPr>
          <w:p>
            <w:pPr>
              <w:pStyle w:val="Smallintable"/>
            </w:pPr>
            <w:r>
              <w:t>1 months</w:t>
            </w:r>
          </w:p>
        </w:tc>
        <w:tc>
          <w:tcPr>
            <w:tcW w:type="dxa" w:w="1644"/>
          </w:tcPr>
          <w:p>
            <w:pPr>
              <w:pStyle w:val="Smallintable"/>
            </w:pPr>
            <w:r>
              <w:t>43,500,000.00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01-01-18 to 31-01-18</w:t>
            </w:r>
          </w:p>
        </w:tc>
        <w:tc>
          <w:tcPr>
            <w:tcW w:type="dxa" w:w="1531"/>
          </w:tcPr>
          <w:p>
            <w:pPr>
              <w:pStyle w:val="Smallintable"/>
            </w:pPr>
            <w:r>
              <w:t>1 months</w:t>
            </w:r>
          </w:p>
        </w:tc>
        <w:tc>
          <w:tcPr>
            <w:tcW w:type="dxa" w:w="1644"/>
          </w:tcPr>
          <w:p>
            <w:pPr>
              <w:pStyle w:val="Smallintable"/>
            </w:pPr>
            <w:r>
              <w:t>43,500,000.00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01-02-18 to 28-02-18</w:t>
            </w:r>
          </w:p>
        </w:tc>
        <w:tc>
          <w:tcPr>
            <w:tcW w:type="dxa" w:w="1531"/>
          </w:tcPr>
          <w:p>
            <w:pPr>
              <w:pStyle w:val="Smallintable"/>
            </w:pPr>
            <w:r>
              <w:t>1 months</w:t>
            </w:r>
          </w:p>
        </w:tc>
        <w:tc>
          <w:tcPr>
            <w:tcW w:type="dxa" w:w="1644"/>
          </w:tcPr>
          <w:p>
            <w:pPr>
              <w:pStyle w:val="Smallintable"/>
            </w:pPr>
            <w:r>
              <w:t>43,500,000.00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01-03-18 to 31-03-18</w:t>
            </w:r>
          </w:p>
        </w:tc>
        <w:tc>
          <w:tcPr>
            <w:tcW w:type="dxa" w:w="1531"/>
          </w:tcPr>
          <w:p>
            <w:pPr>
              <w:pStyle w:val="Smallintable"/>
            </w:pPr>
            <w:r>
              <w:t>1 months</w:t>
            </w:r>
          </w:p>
        </w:tc>
        <w:tc>
          <w:tcPr>
            <w:tcW w:type="dxa" w:w="1644"/>
          </w:tcPr>
          <w:p>
            <w:pPr>
              <w:pStyle w:val="Smallintable"/>
            </w:pPr>
            <w:r>
              <w:t>43,500,000.00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01-04-18 to 30-04-18</w:t>
            </w:r>
          </w:p>
        </w:tc>
        <w:tc>
          <w:tcPr>
            <w:tcW w:type="dxa" w:w="1531"/>
          </w:tcPr>
          <w:p>
            <w:pPr>
              <w:pStyle w:val="Smallintable"/>
            </w:pPr>
            <w:r>
              <w:t>1 months</w:t>
            </w:r>
          </w:p>
        </w:tc>
        <w:tc>
          <w:tcPr>
            <w:tcW w:type="dxa" w:w="1644"/>
          </w:tcPr>
          <w:p>
            <w:pPr>
              <w:pStyle w:val="Smallintable"/>
            </w:pPr>
            <w:r>
              <w:t>22,800,000.00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01-05-18 to 31-05-18</w:t>
            </w:r>
          </w:p>
        </w:tc>
        <w:tc>
          <w:tcPr>
            <w:tcW w:type="dxa" w:w="1531"/>
          </w:tcPr>
          <w:p>
            <w:pPr>
              <w:pStyle w:val="Smallintable"/>
            </w:pPr>
            <w:r>
              <w:t>1 months</w:t>
            </w:r>
          </w:p>
        </w:tc>
        <w:tc>
          <w:tcPr>
            <w:tcW w:type="dxa" w:w="1644"/>
          </w:tcPr>
          <w:p>
            <w:pPr>
              <w:pStyle w:val="Smallintable"/>
            </w:pPr>
            <w:r>
              <w:t>7,000,000.00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01-10-18 to 31-10-18</w:t>
            </w:r>
          </w:p>
        </w:tc>
        <w:tc>
          <w:tcPr>
            <w:tcW w:type="dxa" w:w="1531"/>
          </w:tcPr>
          <w:p>
            <w:pPr>
              <w:pStyle w:val="Smallintable"/>
            </w:pPr>
            <w:r>
              <w:t>1 months</w:t>
            </w:r>
          </w:p>
        </w:tc>
        <w:tc>
          <w:tcPr>
            <w:tcW w:type="dxa" w:w="1644"/>
          </w:tcPr>
          <w:p>
            <w:pPr>
              <w:pStyle w:val="Smallintable"/>
            </w:pPr>
            <w:r>
              <w:t>14,700,000.00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01-11-18 to 30-11-18</w:t>
            </w:r>
          </w:p>
        </w:tc>
        <w:tc>
          <w:tcPr>
            <w:tcW w:type="dxa" w:w="1531"/>
          </w:tcPr>
          <w:p>
            <w:pPr>
              <w:pStyle w:val="Smallintable"/>
            </w:pPr>
            <w:r>
              <w:t>1 months</w:t>
            </w:r>
          </w:p>
        </w:tc>
        <w:tc>
          <w:tcPr>
            <w:tcW w:type="dxa" w:w="1644"/>
          </w:tcPr>
          <w:p>
            <w:pPr>
              <w:pStyle w:val="Smallintable"/>
            </w:pPr>
            <w:r>
              <w:t>38,500,000.00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01-12-18 to 31-12-18</w:t>
            </w:r>
          </w:p>
        </w:tc>
        <w:tc>
          <w:tcPr>
            <w:tcW w:type="dxa" w:w="1531"/>
          </w:tcPr>
          <w:p>
            <w:pPr>
              <w:pStyle w:val="Smallintable"/>
            </w:pPr>
            <w:r>
              <w:t>1 months</w:t>
            </w:r>
          </w:p>
        </w:tc>
        <w:tc>
          <w:tcPr>
            <w:tcW w:type="dxa" w:w="1644"/>
          </w:tcPr>
          <w:p>
            <w:pPr>
              <w:pStyle w:val="Smallintable"/>
            </w:pPr>
            <w:r>
              <w:t>43,500,000.00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01-01-19 to 31-01-19</w:t>
            </w:r>
          </w:p>
        </w:tc>
        <w:tc>
          <w:tcPr>
            <w:tcW w:type="dxa" w:w="1531"/>
          </w:tcPr>
          <w:p>
            <w:pPr>
              <w:pStyle w:val="Smallintable"/>
            </w:pPr>
            <w:r>
              <w:t>1 months</w:t>
            </w:r>
          </w:p>
        </w:tc>
        <w:tc>
          <w:tcPr>
            <w:tcW w:type="dxa" w:w="1644"/>
          </w:tcPr>
          <w:p>
            <w:pPr>
              <w:pStyle w:val="Smallintable"/>
            </w:pPr>
            <w:r>
              <w:t>43,500,000.00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01-02-19 to 28-02-19</w:t>
            </w:r>
          </w:p>
        </w:tc>
        <w:tc>
          <w:tcPr>
            <w:tcW w:type="dxa" w:w="1531"/>
          </w:tcPr>
          <w:p>
            <w:pPr>
              <w:pStyle w:val="Smallintable"/>
            </w:pPr>
            <w:r>
              <w:t>1 months</w:t>
            </w:r>
          </w:p>
        </w:tc>
        <w:tc>
          <w:tcPr>
            <w:tcW w:type="dxa" w:w="1644"/>
          </w:tcPr>
          <w:p>
            <w:pPr>
              <w:pStyle w:val="Smallintable"/>
            </w:pPr>
            <w:r>
              <w:t>43,500,000.00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01-03-19 to 31-03-19</w:t>
            </w:r>
          </w:p>
        </w:tc>
        <w:tc>
          <w:tcPr>
            <w:tcW w:type="dxa" w:w="1531"/>
          </w:tcPr>
          <w:p>
            <w:pPr>
              <w:pStyle w:val="Smallintable"/>
            </w:pPr>
            <w:r>
              <w:t>1 months</w:t>
            </w:r>
          </w:p>
        </w:tc>
        <w:tc>
          <w:tcPr>
            <w:tcW w:type="dxa" w:w="1644"/>
          </w:tcPr>
          <w:p>
            <w:pPr>
              <w:pStyle w:val="Smallintable"/>
            </w:pPr>
            <w:r>
              <w:t>43,500,000.00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01-04-19 to 30-04-19</w:t>
            </w:r>
          </w:p>
        </w:tc>
        <w:tc>
          <w:tcPr>
            <w:tcW w:type="dxa" w:w="1531"/>
          </w:tcPr>
          <w:p>
            <w:pPr>
              <w:pStyle w:val="Smallintable"/>
            </w:pPr>
            <w:r>
              <w:t>1 months</w:t>
            </w:r>
          </w:p>
        </w:tc>
        <w:tc>
          <w:tcPr>
            <w:tcW w:type="dxa" w:w="1644"/>
          </w:tcPr>
          <w:p>
            <w:pPr>
              <w:pStyle w:val="Smallintable"/>
            </w:pPr>
            <w:r>
              <w:t>22,800,000.00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01-05-19 to 31-05-19</w:t>
            </w:r>
          </w:p>
        </w:tc>
        <w:tc>
          <w:tcPr>
            <w:tcW w:type="dxa" w:w="1531"/>
          </w:tcPr>
          <w:p>
            <w:pPr>
              <w:pStyle w:val="Smallintable"/>
            </w:pPr>
            <w:r>
              <w:t>1 months</w:t>
            </w:r>
          </w:p>
        </w:tc>
        <w:tc>
          <w:tcPr>
            <w:tcW w:type="dxa" w:w="1644"/>
          </w:tcPr>
          <w:p>
            <w:pPr>
              <w:pStyle w:val="Smallintable"/>
            </w:pPr>
            <w:r>
              <w:t>7,000,000.00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