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091152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Fresh cut flowers and flower buds of a kind suitable for bouquets or for ornamental purposes</w:t>
            </w:r>
          </w:p>
        </w:tc>
      </w:tr>
      <w:tr>
        <w:tc>
          <w:tcPr>
            <w:tcW w:type="dxa" w:w="2608"/>
          </w:tcPr>
          <w:p>
            <w:pPr>
              <w:pStyle w:val="Smallintable"/>
            </w:pPr>
            <w:r>
              <w:t>Country</w:t>
            </w:r>
          </w:p>
        </w:tc>
        <w:tc>
          <w:tcPr>
            <w:tcW w:type="dxa" w:w="7937"/>
          </w:tcPr>
          <w:p>
            <w:pPr>
              <w:pStyle w:val="Smallintable"/>
            </w:pPr>
            <w:r>
              <w:t>Jordan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R060019</w:t>
            </w:r>
          </w:p>
        </w:tc>
        <w:tc>
          <w:tcPr>
            <w:tcW w:type="dxa" w:w="8277"/>
          </w:tcPr>
          <w:p>
            <w:pPr>
              <w:pStyle w:val="Smallintable"/>
            </w:pPr>
            <w:r>
              <w:t>amending Council Regulation (EC) No 747/2001 as regards Community tariff quotas for certain agricultural products originating in Jordan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JO</w:t>
            </w:r>
          </w:p>
        </w:tc>
        <w:tc>
          <w:tcPr>
            <w:tcW w:type="dxa" w:w="8277"/>
          </w:tcPr>
          <w:p>
            <w:pPr>
              <w:pStyle w:val="Smallintable"/>
            </w:pPr>
            <w:r>
              <w:t>Jordan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0603110000</w:t>
            </w:r>
          </w:p>
        </w:tc>
        <w:tc>
          <w:tcPr>
            <w:tcW w:type="dxa" w:w="8561"/>
          </w:tcPr>
          <w:p>
            <w:pPr>
              <w:pStyle w:val="Smallintable"/>
            </w:pPr>
            <w:r>
              <w:t>Roses</w:t>
            </w:r>
          </w:p>
        </w:tc>
      </w:tr>
      <w:tr>
        <w:tc>
          <w:tcPr>
            <w:tcW w:type="dxa" w:w="1984"/>
          </w:tcPr>
          <w:p>
            <w:pPr>
              <w:pStyle w:val="Smallintable"/>
            </w:pPr>
            <w:r>
              <w:t>0603120000</w:t>
            </w:r>
          </w:p>
        </w:tc>
        <w:tc>
          <w:tcPr>
            <w:tcW w:type="dxa" w:w="8561"/>
          </w:tcPr>
          <w:p>
            <w:pPr>
              <w:pStyle w:val="Smallintable"/>
            </w:pPr>
            <w:r>
              <w:t>Carnations</w:t>
            </w:r>
          </w:p>
        </w:tc>
      </w:tr>
      <w:tr>
        <w:tc>
          <w:tcPr>
            <w:tcW w:type="dxa" w:w="1984"/>
          </w:tcPr>
          <w:p>
            <w:pPr>
              <w:pStyle w:val="Smallintable"/>
            </w:pPr>
            <w:r>
              <w:t>0603130000</w:t>
            </w:r>
          </w:p>
        </w:tc>
        <w:tc>
          <w:tcPr>
            <w:tcW w:type="dxa" w:w="8561"/>
          </w:tcPr>
          <w:p>
            <w:pPr>
              <w:pStyle w:val="Smallintable"/>
            </w:pPr>
            <w:r>
              <w:t>Orchids</w:t>
            </w:r>
          </w:p>
        </w:tc>
      </w:tr>
      <w:tr>
        <w:tc>
          <w:tcPr>
            <w:tcW w:type="dxa" w:w="1984"/>
          </w:tcPr>
          <w:p>
            <w:pPr>
              <w:pStyle w:val="Smallintable"/>
            </w:pPr>
            <w:r>
              <w:t>0603140000</w:t>
            </w:r>
          </w:p>
        </w:tc>
        <w:tc>
          <w:tcPr>
            <w:tcW w:type="dxa" w:w="8561"/>
          </w:tcPr>
          <w:p>
            <w:pPr>
              <w:pStyle w:val="Smallintable"/>
            </w:pPr>
            <w:r>
              <w:t>Chrysanthemums</w:t>
            </w:r>
          </w:p>
        </w:tc>
      </w:tr>
      <w:tr>
        <w:tc>
          <w:tcPr>
            <w:tcW w:type="dxa" w:w="1984"/>
          </w:tcPr>
          <w:p>
            <w:pPr>
              <w:pStyle w:val="Smallintable"/>
            </w:pPr>
            <w:r>
              <w:t>0603150000</w:t>
            </w:r>
          </w:p>
        </w:tc>
        <w:tc>
          <w:tcPr>
            <w:tcW w:type="dxa" w:w="8561"/>
          </w:tcPr>
          <w:p>
            <w:pPr>
              <w:pStyle w:val="Smallintable"/>
            </w:pPr>
            <w:r>
              <w:t>Lilies (Lilium spp.)</w:t>
            </w:r>
          </w:p>
        </w:tc>
      </w:tr>
      <w:tr>
        <w:tc>
          <w:tcPr>
            <w:tcW w:type="dxa" w:w="1984"/>
          </w:tcPr>
          <w:p>
            <w:pPr>
              <w:pStyle w:val="Smallintable"/>
            </w:pPr>
            <w:r>
              <w:t>0603190000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19/2006 amending Council Regulation (EC) No 747/2001 as regards Community tariff quotas for certain agricultural products originating in Jordan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