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091173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So-called "new potatoes", fresh or chilled</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01-10-2018 - 31-12-2018</w:t>
            </w:r>
          </w:p>
        </w:tc>
      </w:tr>
      <w:tr>
        <w:tc>
          <w:tcPr>
            <w:tcW w:type="dxa" w:w="2608"/>
          </w:tcPr>
          <w:p>
            <w:pPr>
              <w:pStyle w:val="Smallintable"/>
            </w:pPr>
            <w:r>
              <w:t>Overall quota volume</w:t>
            </w:r>
          </w:p>
        </w:tc>
        <w:tc>
          <w:tcPr>
            <w:tcW w:type="dxa" w:w="7937"/>
          </w:tcPr>
          <w:p>
            <w:pPr>
              <w:pStyle w:val="Smallintable"/>
            </w:pPr>
            <w:r>
              <w:t>50,000,000.00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0701909010</w:t>
            </w:r>
          </w:p>
        </w:tc>
        <w:tc>
          <w:tcPr>
            <w:tcW w:type="dxa" w:w="8561"/>
          </w:tcPr>
          <w:p>
            <w:pPr>
              <w:pStyle w:val="Smallintable"/>
            </w:pPr>
            <w:r>
              <w:t>so-called "New", from 1 July to 31 December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01-10-18 to 31-12-18</w:t>
            </w:r>
          </w:p>
        </w:tc>
        <w:tc>
          <w:tcPr>
            <w:tcW w:type="dxa" w:w="1531"/>
          </w:tcPr>
          <w:p>
            <w:pPr>
              <w:pStyle w:val="Smallintable"/>
            </w:pPr>
            <w:r>
              <w:t>3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