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091177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Olives, fresh or chilled, for uses other than the production of oil</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 under end use</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0709921000</w:t>
            </w:r>
          </w:p>
        </w:tc>
        <w:tc>
          <w:tcPr>
            <w:tcW w:type="dxa" w:w="8561"/>
          </w:tcPr>
          <w:p>
            <w:pPr>
              <w:pStyle w:val="Smallintable"/>
            </w:pPr>
            <w:r>
              <w:t>For uses other than the production of oil</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