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091213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New potatoes, fresh or chilled</w:t>
            </w:r>
          </w:p>
        </w:tc>
      </w:tr>
      <w:tr>
        <w:tc>
          <w:tcPr>
            <w:tcW w:type="dxa" w:w="2608"/>
          </w:tcPr>
          <w:p>
            <w:pPr>
              <w:pStyle w:val="Smallintable"/>
            </w:pPr>
            <w:r>
              <w:t>Country</w:t>
            </w:r>
          </w:p>
        </w:tc>
        <w:tc>
          <w:tcPr>
            <w:tcW w:type="dxa" w:w="7937"/>
          </w:tcPr>
          <w:p>
            <w:pPr>
              <w:pStyle w:val="Smallintable"/>
            </w:pPr>
            <w:r>
              <w:t>Tunisia</w:t>
            </w:r>
          </w:p>
        </w:tc>
      </w:tr>
      <w:tr>
        <w:tc>
          <w:tcPr>
            <w:tcW w:type="dxa" w:w="2608"/>
          </w:tcPr>
          <w:p>
            <w:pPr>
              <w:pStyle w:val="Smallintable"/>
            </w:pPr>
            <w:r>
              <w:t>Application period</w:t>
            </w:r>
          </w:p>
        </w:tc>
        <w:tc>
          <w:tcPr>
            <w:tcW w:type="dxa" w:w="7937"/>
          </w:tcPr>
          <w:p>
            <w:pPr>
              <w:pStyle w:val="Smallintable"/>
            </w:pPr>
            <w:r>
              <w:t>01-01-2018 - 31-03-2018</w:t>
            </w:r>
          </w:p>
        </w:tc>
      </w:tr>
      <w:tr>
        <w:tc>
          <w:tcPr>
            <w:tcW w:type="dxa" w:w="2608"/>
          </w:tcPr>
          <w:p>
            <w:pPr>
              <w:pStyle w:val="Smallintable"/>
            </w:pPr>
            <w:r>
              <w:t>Overall quota volume</w:t>
            </w:r>
          </w:p>
        </w:tc>
        <w:tc>
          <w:tcPr>
            <w:tcW w:type="dxa" w:w="7937"/>
          </w:tcPr>
          <w:p>
            <w:pPr>
              <w:pStyle w:val="Smallintable"/>
            </w:pPr>
            <w:r>
              <w:t>18,816,000.00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R010747</w:t>
            </w:r>
          </w:p>
        </w:tc>
        <w:tc>
          <w:tcPr>
            <w:tcW w:type="dxa" w:w="8277"/>
          </w:tcPr>
          <w:p>
            <w:pPr>
              <w:pStyle w:val="Smallintable"/>
            </w:pPr>
            <w:r>
              <w:t>providing for the management of Community tariff quotas and of reference quantities for products eligible for preferences by virtue of agreements withcertain Mediterranean countries and repealing Regulations (EC) No 1981/94 and (EC) No 934/95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TN</w:t>
            </w:r>
          </w:p>
        </w:tc>
        <w:tc>
          <w:tcPr>
            <w:tcW w:type="dxa" w:w="8277"/>
          </w:tcPr>
          <w:p>
            <w:pPr>
              <w:pStyle w:val="Smallintable"/>
            </w:pPr>
            <w:r>
              <w:t>Tunisia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747/2001 of 9 April 2001 providing for the management of Community tariff quotas and of reference quantities for products eligible for preferences by virtue of agreements with certain Mediterranean countries and repealing Regulations (EC) No 1981/94 and (EC) No 934/95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31-03-18</w:t>
            </w:r>
          </w:p>
        </w:tc>
        <w:tc>
          <w:tcPr>
            <w:tcW w:type="dxa" w:w="1531"/>
          </w:tcPr>
          <w:p>
            <w:pPr>
              <w:pStyle w:val="Smallintable"/>
            </w:pPr>
            <w:r>
              <w:t>3 months</w:t>
            </w:r>
          </w:p>
        </w:tc>
        <w:tc>
          <w:tcPr>
            <w:tcW w:type="dxa" w:w="1644"/>
          </w:tcPr>
          <w:p>
            <w:pPr>
              <w:pStyle w:val="Smallintable"/>
            </w:pPr>
            <w:r>
              <w:t>18,816,000.00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