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091215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Tomatoes prepared or preserved otherwise than by vinegar or acetic acid, other than whole or in pieces, with a dry matter content of not less than 12%</w:t>
            </w:r>
          </w:p>
        </w:tc>
      </w:tr>
      <w:tr>
        <w:tc>
          <w:tcPr>
            <w:tcW w:type="dxa" w:w="2608"/>
          </w:tcPr>
          <w:p>
            <w:pPr>
              <w:pStyle w:val="Smallintable"/>
            </w:pPr>
            <w:r>
              <w:t>Country</w:t>
            </w:r>
          </w:p>
        </w:tc>
        <w:tc>
          <w:tcPr>
            <w:tcW w:type="dxa" w:w="7937"/>
          </w:tcPr>
          <w:p>
            <w:pPr>
              <w:pStyle w:val="Smallintable"/>
            </w:pPr>
            <w:r>
              <w:t>Tunisia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R010747</w:t>
            </w:r>
          </w:p>
        </w:tc>
        <w:tc>
          <w:tcPr>
            <w:tcW w:type="dxa" w:w="8277"/>
          </w:tcPr>
          <w:p>
            <w:pPr>
              <w:pStyle w:val="Smallintable"/>
            </w:pPr>
            <w:r>
              <w:t>providing for the management of Community tariff quotas and of reference quantities for products eligible for preferences by virtue of agreements withcertain Mediterranean countries and repealing Regulations (EC) No 1981/94 and (EC) No 934/95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TN</w:t>
            </w:r>
          </w:p>
        </w:tc>
        <w:tc>
          <w:tcPr>
            <w:tcW w:type="dxa" w:w="8277"/>
          </w:tcPr>
          <w:p>
            <w:pPr>
              <w:pStyle w:val="Smallintable"/>
            </w:pPr>
            <w:r>
              <w:t>Tunisia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2002903100</w:t>
            </w:r>
          </w:p>
        </w:tc>
        <w:tc>
          <w:tcPr>
            <w:tcW w:type="dxa" w:w="8561"/>
          </w:tcPr>
          <w:p>
            <w:pPr>
              <w:pStyle w:val="Smallintable"/>
            </w:pPr>
            <w:r>
              <w:t>In immediate packings of a net content exceeding 1|kg</w:t>
            </w:r>
          </w:p>
        </w:tc>
      </w:tr>
      <w:tr>
        <w:tc>
          <w:tcPr>
            <w:tcW w:type="dxa" w:w="1984"/>
          </w:tcPr>
          <w:p>
            <w:pPr>
              <w:pStyle w:val="Smallintable"/>
            </w:pPr>
            <w:r>
              <w:t>2002903900</w:t>
            </w:r>
          </w:p>
        </w:tc>
        <w:tc>
          <w:tcPr>
            <w:tcW w:type="dxa" w:w="8561"/>
          </w:tcPr>
          <w:p>
            <w:pPr>
              <w:pStyle w:val="Smallintable"/>
            </w:pPr>
            <w:r>
              <w:t>In immediate packings of a net content not exceeding 1|kg</w:t>
            </w:r>
          </w:p>
        </w:tc>
      </w:tr>
      <w:tr>
        <w:tc>
          <w:tcPr>
            <w:tcW w:type="dxa" w:w="1984"/>
          </w:tcPr>
          <w:p>
            <w:pPr>
              <w:pStyle w:val="Smallintable"/>
            </w:pPr>
            <w:r>
              <w:t>2002909100</w:t>
            </w:r>
          </w:p>
        </w:tc>
        <w:tc>
          <w:tcPr>
            <w:tcW w:type="dxa" w:w="8561"/>
          </w:tcPr>
          <w:p>
            <w:pPr>
              <w:pStyle w:val="Smallintable"/>
            </w:pPr>
            <w:r>
              <w:t>In immediate packings of a net content exceeding 1|kg</w:t>
            </w:r>
          </w:p>
        </w:tc>
      </w:tr>
      <w:tr>
        <w:tc>
          <w:tcPr>
            <w:tcW w:type="dxa" w:w="1984"/>
          </w:tcPr>
          <w:p>
            <w:pPr>
              <w:pStyle w:val="Smallintable"/>
            </w:pPr>
            <w:r>
              <w:t>2002909900</w:t>
            </w:r>
          </w:p>
        </w:tc>
        <w:tc>
          <w:tcPr>
            <w:tcW w:type="dxa" w:w="8561"/>
          </w:tcPr>
          <w:p>
            <w:pPr>
              <w:pStyle w:val="Smallintable"/>
            </w:pPr>
            <w:r>
              <w:t>In immediate packings of a net content not exceeding 1|kg</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2002903100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2002903900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2002909100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747/2001 of 9 April 2001 providing for the management of Community tariff quotas and of reference quantities for products eligible for preferences by virtue of agreements with certain Mediterranean countries and repealing Regulations (EC) No 1981/94 and (EC) No 934/95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