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091219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Olives provisionaly preserved</w:t>
            </w:r>
          </w:p>
        </w:tc>
      </w:tr>
      <w:tr>
        <w:tc>
          <w:tcPr>
            <w:tcW w:type="dxa" w:w="2608"/>
          </w:tcPr>
          <w:p>
            <w:pPr>
              <w:pStyle w:val="Smallintable"/>
            </w:pPr>
            <w:r>
              <w:t>Country</w:t>
            </w:r>
          </w:p>
        </w:tc>
        <w:tc>
          <w:tcPr>
            <w:tcW w:type="dxa" w:w="7937"/>
          </w:tcPr>
          <w:p>
            <w:pPr>
              <w:pStyle w:val="Smallintable"/>
            </w:pPr>
            <w:r>
              <w:t>Tunisia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 under end use</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R010747</w:t>
            </w:r>
          </w:p>
        </w:tc>
        <w:tc>
          <w:tcPr>
            <w:tcW w:type="dxa" w:w="8277"/>
          </w:tcPr>
          <w:p>
            <w:pPr>
              <w:pStyle w:val="Smallintable"/>
            </w:pPr>
            <w:r>
              <w:t>providing for the management of Community tariff quotas and of reference quantities for products eligible for preferences by virtue of agreements withcertain Mediterranean countries and repealing Regulations (EC) No 1981/94 and (EC) No 934/95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TN</w:t>
            </w:r>
          </w:p>
        </w:tc>
        <w:tc>
          <w:tcPr>
            <w:tcW w:type="dxa" w:w="8277"/>
          </w:tcPr>
          <w:p>
            <w:pPr>
              <w:pStyle w:val="Smallintable"/>
            </w:pPr>
            <w:r>
              <w:t>Tunisia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0711201000</w:t>
            </w:r>
          </w:p>
        </w:tc>
        <w:tc>
          <w:tcPr>
            <w:tcW w:type="dxa" w:w="8561"/>
          </w:tcPr>
          <w:p>
            <w:pPr>
              <w:pStyle w:val="Smallintable"/>
            </w:pPr>
            <w:r>
              <w:t>For uses other than the production of oil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747/2001 of 9 April 2001 providing for the management of Community tariff quotas and of reference quantities for products eligible for preferences by virtue of agreements with certain Mediterranean countries and repealing Regulations (EC) No 1981/94 and (EC) No 934/95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