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Gingerbread and the like, containing by weight 30 % or  more of sucrose (including invert sugar expressed as sucrose)</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1905203000</w:t>
            </w:r>
          </w:p>
        </w:tc>
        <w:tc>
          <w:tcPr>
            <w:tcW w:type="dxa" w:w="8561"/>
          </w:tcPr>
          <w:p>
            <w:pPr>
              <w:pStyle w:val="Smallintable"/>
            </w:pPr>
            <w:r>
              <w:t>Containing by weight 30|% or more but less than 50|% of sucrose (including invert sugar expessed as sucrose)</w:t>
            </w:r>
          </w:p>
        </w:tc>
      </w:tr>
      <w:tr>
        <w:tc>
          <w:tcPr>
            <w:tcW w:type="dxa" w:w="1984"/>
          </w:tcPr>
          <w:p>
            <w:pPr>
              <w:pStyle w:val="Smallintable"/>
            </w:pPr>
            <w:r>
              <w:t>1905209000</w:t>
            </w:r>
          </w:p>
        </w:tc>
        <w:tc>
          <w:tcPr>
            <w:tcW w:type="dxa" w:w="8561"/>
          </w:tcPr>
          <w:p>
            <w:pPr>
              <w:pStyle w:val="Smallintable"/>
            </w:pPr>
            <w:r>
              <w:t>Containing by weight 50|% or more of sucrose (including invert sugar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